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8BA11">
      <w:pPr>
        <w:pStyle w:val="15"/>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w:t>
      </w:r>
    </w:p>
    <w:p w14:paraId="0748D618">
      <w:pPr>
        <w:pStyle w:val="15"/>
        <w:spacing w:before="120" w:beforeAutospacing="0" w:after="120" w:afterAutospacing="0" w:line="360" w:lineRule="auto"/>
        <w:jc w:val="center"/>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t>招 标 文 件</w:t>
      </w:r>
    </w:p>
    <w:p w14:paraId="3D63B8A8">
      <w:pPr>
        <w:pStyle w:val="15"/>
        <w:spacing w:before="120" w:beforeAutospacing="0" w:after="120" w:afterAutospacing="0" w:line="360" w:lineRule="auto"/>
        <w:jc w:val="both"/>
        <w:rPr>
          <w:rFonts w:hint="eastAsia" w:ascii="宋体" w:hAnsi="宋体" w:eastAsia="宋体" w:cs="宋体"/>
          <w:b/>
          <w:color w:val="000000"/>
          <w:sz w:val="84"/>
          <w:szCs w:val="84"/>
          <w:highlight w:val="none"/>
        </w:rPr>
      </w:pPr>
    </w:p>
    <w:p w14:paraId="53CCD73E">
      <w:pPr>
        <w:pStyle w:val="15"/>
        <w:spacing w:before="120" w:beforeAutospacing="0" w:after="120" w:afterAutospacing="0" w:line="360" w:lineRule="auto"/>
        <w:jc w:val="center"/>
        <w:rPr>
          <w:rFonts w:hint="eastAsia" w:ascii="宋体" w:hAnsi="宋体" w:eastAsia="宋体" w:cs="宋体"/>
          <w:highlight w:val="none"/>
        </w:rPr>
      </w:pPr>
      <w:r>
        <w:rPr>
          <w:rFonts w:hint="eastAsia" w:ascii="宋体" w:hAnsi="宋体" w:eastAsia="宋体" w:cs="宋体"/>
          <w:b/>
          <w:color w:val="000000"/>
          <w:sz w:val="32"/>
          <w:szCs w:val="32"/>
          <w:highlight w:val="none"/>
        </w:rPr>
        <w:t>项目名称：</w:t>
      </w:r>
      <w:r>
        <w:rPr>
          <w:rFonts w:hint="eastAsia" w:ascii="宋体" w:hAnsi="宋体" w:eastAsia="宋体" w:cs="宋体"/>
          <w:b/>
          <w:color w:val="000000"/>
          <w:sz w:val="32"/>
          <w:szCs w:val="32"/>
          <w:highlight w:val="none"/>
          <w:lang w:eastAsia="zh-CN"/>
        </w:rPr>
        <w:t>万盈镇（原万盈镇、原沈灶镇）第二轮土地承包到期后再延长30年试点技术服务项目</w:t>
      </w:r>
    </w:p>
    <w:p w14:paraId="6F53CC27">
      <w:pPr>
        <w:pStyle w:val="15"/>
        <w:spacing w:beforeAutospacing="0" w:afterAutospacing="0"/>
        <w:jc w:val="left"/>
        <w:rPr>
          <w:rFonts w:hint="eastAsia" w:ascii="宋体" w:hAnsi="宋体" w:eastAsia="宋体" w:cs="宋体"/>
          <w:highlight w:val="none"/>
          <w:lang w:eastAsia="zh-CN"/>
        </w:rPr>
      </w:pPr>
      <w:r>
        <w:rPr>
          <w:rFonts w:hint="eastAsia" w:ascii="宋体" w:hAnsi="宋体" w:eastAsia="宋体" w:cs="宋体"/>
          <w:b/>
          <w:color w:val="000000"/>
          <w:sz w:val="32"/>
          <w:szCs w:val="32"/>
          <w:highlight w:val="none"/>
        </w:rPr>
        <w:t>项目编号：JSZC-320904-ZTRC-G2026-0001</w:t>
      </w:r>
      <w:r>
        <w:rPr>
          <w:rFonts w:hint="eastAsia" w:ascii="宋体" w:hAnsi="宋体" w:eastAsia="宋体" w:cs="宋体"/>
          <w:b/>
          <w:color w:val="000000"/>
          <w:sz w:val="32"/>
          <w:szCs w:val="32"/>
          <w:highlight w:val="none"/>
          <w:lang w:val="en-US" w:eastAsia="zh-CN"/>
        </w:rPr>
        <w:t xml:space="preserve"> </w:t>
      </w:r>
    </w:p>
    <w:p w14:paraId="062C3A68">
      <w:pPr>
        <w:pStyle w:val="15"/>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w:t>
      </w:r>
    </w:p>
    <w:p w14:paraId="24182504">
      <w:pPr>
        <w:pStyle w:val="15"/>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w:t>
      </w:r>
    </w:p>
    <w:p w14:paraId="3C13D1EC">
      <w:pPr>
        <w:pStyle w:val="15"/>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w:t>
      </w:r>
    </w:p>
    <w:p w14:paraId="68483B32">
      <w:pPr>
        <w:pStyle w:val="15"/>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w:t>
      </w:r>
    </w:p>
    <w:p w14:paraId="5C4F9B91">
      <w:pPr>
        <w:pStyle w:val="15"/>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w:t>
      </w:r>
    </w:p>
    <w:p w14:paraId="4C6A13B3">
      <w:pPr>
        <w:pStyle w:val="15"/>
        <w:spacing w:beforeAutospacing="0" w:afterAutospacing="0" w:line="360" w:lineRule="auto"/>
        <w:rPr>
          <w:rFonts w:hint="eastAsia" w:ascii="宋体" w:hAnsi="宋体" w:eastAsia="宋体" w:cs="宋体"/>
          <w:highlight w:val="none"/>
        </w:rPr>
      </w:pPr>
    </w:p>
    <w:p w14:paraId="1F15305E">
      <w:pPr>
        <w:pStyle w:val="15"/>
        <w:spacing w:beforeAutospacing="0" w:afterAutospacing="0" w:line="360" w:lineRule="auto"/>
        <w:rPr>
          <w:rFonts w:hint="eastAsia" w:ascii="宋体" w:hAnsi="宋体" w:eastAsia="宋体" w:cs="宋体"/>
          <w:highlight w:val="none"/>
        </w:rPr>
      </w:pPr>
    </w:p>
    <w:p w14:paraId="1A8CA83B">
      <w:pPr>
        <w:pStyle w:val="15"/>
        <w:spacing w:beforeAutospacing="0" w:afterAutospacing="0" w:line="360" w:lineRule="auto"/>
        <w:rPr>
          <w:rFonts w:hint="eastAsia" w:ascii="宋体" w:hAnsi="宋体" w:eastAsia="宋体" w:cs="宋体"/>
          <w:highlight w:val="none"/>
        </w:rPr>
      </w:pPr>
    </w:p>
    <w:p w14:paraId="46CE28EC">
      <w:pPr>
        <w:pStyle w:val="15"/>
        <w:spacing w:beforeAutospacing="0" w:afterAutospacing="0" w:line="360" w:lineRule="auto"/>
        <w:rPr>
          <w:rFonts w:hint="eastAsia" w:ascii="宋体" w:hAnsi="宋体" w:eastAsia="宋体" w:cs="宋体"/>
          <w:highlight w:val="none"/>
        </w:rPr>
      </w:pPr>
    </w:p>
    <w:p w14:paraId="74F76B89">
      <w:pPr>
        <w:pStyle w:val="15"/>
        <w:spacing w:beforeAutospacing="0" w:afterAutospacing="0" w:line="360" w:lineRule="auto"/>
        <w:rPr>
          <w:rFonts w:hint="eastAsia" w:ascii="宋体" w:hAnsi="宋体" w:eastAsia="宋体" w:cs="宋体"/>
          <w:highlight w:val="none"/>
        </w:rPr>
      </w:pPr>
    </w:p>
    <w:p w14:paraId="75EB565F">
      <w:pPr>
        <w:pStyle w:val="15"/>
        <w:spacing w:beforeAutospacing="0" w:afterAutospacing="0" w:line="360" w:lineRule="auto"/>
        <w:rPr>
          <w:rFonts w:hint="eastAsia" w:ascii="宋体" w:hAnsi="宋体" w:eastAsia="宋体" w:cs="宋体"/>
          <w:highlight w:val="none"/>
        </w:rPr>
      </w:pPr>
    </w:p>
    <w:p w14:paraId="714CFDC1">
      <w:pPr>
        <w:pStyle w:val="15"/>
        <w:spacing w:before="120" w:beforeAutospacing="0" w:after="120" w:afterAutospacing="0" w:line="360" w:lineRule="auto"/>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招标人：盐城市大丰区万盈镇人民政府</w:t>
      </w:r>
    </w:p>
    <w:p w14:paraId="4243934D">
      <w:pPr>
        <w:pStyle w:val="15"/>
        <w:spacing w:before="120" w:beforeAutospacing="0" w:after="120" w:afterAutospacing="0" w:line="360" w:lineRule="auto"/>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招标代理：盐城中团锐创项目管理有限公司</w:t>
      </w:r>
    </w:p>
    <w:p w14:paraId="4FD243CB">
      <w:pPr>
        <w:pStyle w:val="15"/>
        <w:spacing w:before="120" w:beforeAutospacing="0" w:after="120" w:afterAutospacing="0" w:line="360" w:lineRule="auto"/>
        <w:jc w:val="center"/>
        <w:rPr>
          <w:rFonts w:hint="eastAsia" w:ascii="宋体" w:hAnsi="宋体" w:eastAsia="宋体" w:cs="宋体"/>
          <w:highlight w:val="none"/>
        </w:rPr>
      </w:pPr>
      <w:r>
        <w:rPr>
          <w:rFonts w:hint="eastAsia" w:ascii="宋体" w:hAnsi="宋体" w:eastAsia="宋体" w:cs="宋体"/>
          <w:b/>
          <w:color w:val="000000"/>
          <w:sz w:val="32"/>
          <w:szCs w:val="32"/>
          <w:highlight w:val="none"/>
          <w:u w:val="single"/>
          <w:lang w:val="en-US" w:eastAsia="zh-CN"/>
        </w:rPr>
        <w:t>2026</w:t>
      </w:r>
      <w:r>
        <w:rPr>
          <w:rFonts w:hint="eastAsia" w:ascii="宋体" w:hAnsi="宋体" w:eastAsia="宋体" w:cs="宋体"/>
          <w:b/>
          <w:color w:val="000000"/>
          <w:sz w:val="32"/>
          <w:szCs w:val="32"/>
          <w:highlight w:val="none"/>
        </w:rPr>
        <w:t>年</w:t>
      </w:r>
      <w:r>
        <w:rPr>
          <w:rFonts w:hint="eastAsia" w:ascii="宋体" w:hAnsi="宋体" w:eastAsia="宋体" w:cs="宋体"/>
          <w:b/>
          <w:color w:val="000000"/>
          <w:sz w:val="32"/>
          <w:szCs w:val="32"/>
          <w:highlight w:val="none"/>
          <w:u w:val="single"/>
          <w:lang w:val="en-US" w:eastAsia="zh-CN"/>
        </w:rPr>
        <w:t xml:space="preserve"> 6</w:t>
      </w:r>
      <w:r>
        <w:rPr>
          <w:rFonts w:hint="eastAsia" w:ascii="宋体" w:hAnsi="宋体" w:eastAsia="宋体" w:cs="宋体"/>
          <w:b/>
          <w:color w:val="000000"/>
          <w:sz w:val="32"/>
          <w:szCs w:val="32"/>
          <w:highlight w:val="none"/>
        </w:rPr>
        <w:t>月</w:t>
      </w:r>
    </w:p>
    <w:p w14:paraId="4EBBC86A">
      <w:pPr>
        <w:pStyle w:val="15"/>
        <w:spacing w:beforeAutospacing="0" w:afterAutospacing="0" w:line="480" w:lineRule="auto"/>
        <w:ind w:firstLine="2100" w:firstLineChars="1000"/>
        <w:jc w:val="both"/>
        <w:rPr>
          <w:rFonts w:hint="eastAsia" w:ascii="宋体" w:hAnsi="宋体" w:eastAsia="宋体" w:cs="宋体"/>
          <w:color w:val="000000"/>
          <w:sz w:val="21"/>
          <w:szCs w:val="21"/>
          <w:highlight w:val="none"/>
        </w:rPr>
        <w:sectPr>
          <w:pgSz w:w="11906" w:h="16838"/>
          <w:pgMar w:top="1440" w:right="1587" w:bottom="1440" w:left="1587" w:header="851" w:footer="907" w:gutter="0"/>
          <w:cols w:space="720" w:num="1"/>
          <w:docGrid w:linePitch="360" w:charSpace="0"/>
        </w:sectPr>
      </w:pPr>
    </w:p>
    <w:p w14:paraId="1C306D57">
      <w:pPr>
        <w:pStyle w:val="15"/>
        <w:spacing w:beforeAutospacing="0" w:afterAutospacing="0" w:line="480" w:lineRule="auto"/>
        <w:ind w:firstLine="2100" w:firstLineChars="1000"/>
        <w:jc w:val="both"/>
        <w:rPr>
          <w:rFonts w:hint="eastAsia" w:ascii="宋体" w:hAnsi="宋体" w:eastAsia="宋体" w:cs="宋体"/>
          <w:highlight w:val="none"/>
        </w:rPr>
      </w:pPr>
      <w:r>
        <w:rPr>
          <w:rFonts w:hint="eastAsia" w:ascii="宋体" w:hAnsi="宋体" w:eastAsia="宋体" w:cs="宋体"/>
          <w:color w:val="000000"/>
          <w:sz w:val="21"/>
          <w:szCs w:val="21"/>
          <w:highlight w:val="none"/>
        </w:rPr>
        <w:t> </w:t>
      </w:r>
      <w:bookmarkStart w:id="0" w:name="_Toc479757206"/>
      <w:bookmarkStart w:id="1" w:name="_Toc16938516"/>
      <w:bookmarkStart w:id="2" w:name="_Toc20823272"/>
      <w:bookmarkStart w:id="3" w:name="_Toc523127445"/>
      <w:bookmarkStart w:id="4" w:name="_Toc120614210"/>
      <w:bookmarkStart w:id="5" w:name="_Toc513029200"/>
      <w:r>
        <w:rPr>
          <w:rFonts w:hint="eastAsia" w:ascii="宋体" w:hAnsi="宋体" w:eastAsia="宋体" w:cs="宋体"/>
          <w:color w:val="000000"/>
          <w:sz w:val="21"/>
          <w:szCs w:val="21"/>
          <w:highlight w:val="none"/>
        </w:rPr>
        <w:t> </w:t>
      </w:r>
      <w:r>
        <w:rPr>
          <w:rFonts w:hint="eastAsia" w:ascii="宋体" w:hAnsi="宋体" w:eastAsia="宋体" w:cs="宋体"/>
          <w:b/>
          <w:color w:val="000000"/>
          <w:sz w:val="44"/>
          <w:szCs w:val="44"/>
          <w:highlight w:val="none"/>
        </w:rPr>
        <w:t>总  目  录</w:t>
      </w:r>
      <w:bookmarkEnd w:id="0"/>
      <w:bookmarkEnd w:id="1"/>
      <w:bookmarkEnd w:id="2"/>
      <w:bookmarkEnd w:id="3"/>
      <w:bookmarkEnd w:id="4"/>
      <w:bookmarkEnd w:id="5"/>
    </w:p>
    <w:p w14:paraId="6EB96C7E">
      <w:pPr>
        <w:pStyle w:val="15"/>
        <w:spacing w:beforeAutospacing="0" w:afterAutospacing="0" w:line="480" w:lineRule="auto"/>
        <w:jc w:val="both"/>
        <w:rPr>
          <w:rFonts w:hint="eastAsia" w:ascii="宋体" w:hAnsi="宋体" w:eastAsia="宋体" w:cs="宋体"/>
          <w:highlight w:val="none"/>
        </w:rPr>
      </w:pPr>
      <w:r>
        <w:rPr>
          <w:rFonts w:hint="eastAsia" w:ascii="宋体" w:hAnsi="宋体" w:eastAsia="宋体" w:cs="宋体"/>
          <w:highlight w:val="none"/>
        </w:rPr>
        <w:t> </w:t>
      </w:r>
    </w:p>
    <w:p w14:paraId="63E5A6A0">
      <w:pPr>
        <w:pStyle w:val="15"/>
        <w:tabs>
          <w:tab w:val="left" w:pos="1441"/>
        </w:tabs>
        <w:spacing w:beforeAutospacing="0" w:afterAutospacing="0" w:line="480" w:lineRule="auto"/>
        <w:ind w:left="2160" w:hanging="1440"/>
        <w:jc w:val="both"/>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lang w:val="en-US" w:eastAsia="zh-CN"/>
        </w:rPr>
        <w:t>第一章 招标公告</w:t>
      </w:r>
      <w:r>
        <w:rPr>
          <w:rFonts w:hint="eastAsia"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lang w:val="en-US" w:eastAsia="zh-CN"/>
        </w:rPr>
        <w:t>2</w:t>
      </w:r>
    </w:p>
    <w:p w14:paraId="3F048C29">
      <w:pPr>
        <w:pStyle w:val="15"/>
        <w:tabs>
          <w:tab w:val="left" w:pos="1441"/>
        </w:tabs>
        <w:spacing w:beforeAutospacing="0" w:afterAutospacing="0" w:line="480" w:lineRule="auto"/>
        <w:ind w:left="2160" w:hanging="1440"/>
        <w:jc w:val="both"/>
        <w:rPr>
          <w:rFonts w:hint="eastAsia" w:ascii="宋体" w:hAnsi="宋体" w:eastAsia="宋体" w:cs="宋体"/>
          <w:highlight w:val="none"/>
        </w:rPr>
      </w:pPr>
      <w:r>
        <w:rPr>
          <w:rFonts w:hint="eastAsia" w:ascii="宋体" w:hAnsi="宋体" w:eastAsia="宋体" w:cs="宋体"/>
          <w:color w:val="000000"/>
          <w:sz w:val="36"/>
          <w:szCs w:val="36"/>
          <w:highlight w:val="none"/>
          <w:lang w:eastAsia="zh-CN"/>
        </w:rPr>
        <w:t>第二章</w:t>
      </w:r>
      <w:r>
        <w:rPr>
          <w:rFonts w:hint="eastAsia" w:ascii="宋体" w:hAnsi="宋体" w:eastAsia="宋体" w:cs="宋体"/>
          <w:color w:val="000000"/>
          <w:sz w:val="36"/>
          <w:szCs w:val="36"/>
          <w:highlight w:val="none"/>
          <w:lang w:val="en-US" w:eastAsia="zh-CN"/>
        </w:rPr>
        <w:t xml:space="preserve"> </w:t>
      </w:r>
      <w:r>
        <w:rPr>
          <w:rFonts w:hint="eastAsia" w:ascii="宋体" w:hAnsi="宋体" w:eastAsia="宋体" w:cs="宋体"/>
          <w:color w:val="000000"/>
          <w:sz w:val="36"/>
          <w:szCs w:val="36"/>
          <w:highlight w:val="none"/>
        </w:rPr>
        <w:t>投标人须知…………………………</w:t>
      </w:r>
      <w:r>
        <w:rPr>
          <w:rFonts w:hint="eastAsia" w:ascii="宋体" w:hAnsi="宋体" w:eastAsia="宋体" w:cs="宋体"/>
          <w:color w:val="000000"/>
          <w:sz w:val="36"/>
          <w:szCs w:val="36"/>
          <w:highlight w:val="none"/>
          <w:lang w:val="en-US" w:eastAsia="zh-CN"/>
        </w:rPr>
        <w:t xml:space="preserve"> 7</w:t>
      </w:r>
      <w:r>
        <w:rPr>
          <w:rFonts w:hint="eastAsia" w:ascii="宋体" w:hAnsi="宋体" w:eastAsia="宋体" w:cs="宋体"/>
          <w:color w:val="000000"/>
          <w:sz w:val="36"/>
          <w:szCs w:val="36"/>
          <w:highlight w:val="none"/>
        </w:rPr>
        <w:t xml:space="preserve"> </w:t>
      </w:r>
    </w:p>
    <w:p w14:paraId="36557F5B">
      <w:pPr>
        <w:pStyle w:val="15"/>
        <w:tabs>
          <w:tab w:val="left" w:pos="1441"/>
        </w:tabs>
        <w:spacing w:beforeAutospacing="0" w:afterAutospacing="0" w:line="480" w:lineRule="auto"/>
        <w:ind w:left="2160" w:hanging="1440"/>
        <w:jc w:val="both"/>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lang w:eastAsia="zh-CN"/>
        </w:rPr>
        <w:t>第三章</w:t>
      </w:r>
      <w:r>
        <w:rPr>
          <w:rFonts w:hint="eastAsia" w:ascii="宋体" w:hAnsi="宋体" w:eastAsia="宋体" w:cs="宋体"/>
          <w:color w:val="000000"/>
          <w:sz w:val="36"/>
          <w:szCs w:val="36"/>
          <w:highlight w:val="none"/>
          <w:lang w:val="en-US" w:eastAsia="zh-CN"/>
        </w:rPr>
        <w:t xml:space="preserve"> </w:t>
      </w:r>
      <w:r>
        <w:rPr>
          <w:rFonts w:hint="eastAsia" w:ascii="宋体" w:hAnsi="宋体" w:eastAsia="宋体" w:cs="宋体"/>
          <w:color w:val="000000"/>
          <w:sz w:val="36"/>
          <w:szCs w:val="36"/>
          <w:highlight w:val="none"/>
        </w:rPr>
        <w:t>合同文本……………………………</w:t>
      </w:r>
      <w:r>
        <w:rPr>
          <w:rFonts w:hint="eastAsia" w:ascii="宋体" w:hAnsi="宋体" w:eastAsia="宋体" w:cs="宋体"/>
          <w:color w:val="000000"/>
          <w:sz w:val="36"/>
          <w:szCs w:val="36"/>
          <w:highlight w:val="none"/>
          <w:lang w:val="en-US" w:eastAsia="zh-CN"/>
        </w:rPr>
        <w:t xml:space="preserve"> 23</w:t>
      </w:r>
    </w:p>
    <w:p w14:paraId="76DCD7D4">
      <w:pPr>
        <w:pStyle w:val="15"/>
        <w:tabs>
          <w:tab w:val="left" w:pos="1441"/>
        </w:tabs>
        <w:spacing w:beforeAutospacing="0" w:afterAutospacing="0" w:line="480" w:lineRule="auto"/>
        <w:ind w:left="2160" w:hanging="1440"/>
        <w:jc w:val="both"/>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lang w:eastAsia="zh-CN"/>
        </w:rPr>
        <w:t>第四章</w:t>
      </w:r>
      <w:r>
        <w:rPr>
          <w:rFonts w:hint="eastAsia" w:ascii="宋体" w:hAnsi="宋体" w:eastAsia="宋体" w:cs="宋体"/>
          <w:color w:val="000000"/>
          <w:sz w:val="36"/>
          <w:szCs w:val="36"/>
          <w:highlight w:val="none"/>
          <w:lang w:val="en-US" w:eastAsia="zh-CN"/>
        </w:rPr>
        <w:t xml:space="preserve"> </w:t>
      </w:r>
      <w:r>
        <w:rPr>
          <w:rFonts w:hint="eastAsia" w:ascii="宋体" w:hAnsi="宋体" w:eastAsia="宋体" w:cs="宋体"/>
          <w:color w:val="000000"/>
          <w:sz w:val="36"/>
          <w:szCs w:val="36"/>
          <w:highlight w:val="none"/>
          <w:lang w:eastAsia="zh-CN"/>
        </w:rPr>
        <w:t>招标服务需求</w:t>
      </w:r>
      <w:r>
        <w:rPr>
          <w:rFonts w:hint="eastAsia" w:ascii="宋体" w:hAnsi="宋体" w:eastAsia="宋体" w:cs="宋体"/>
          <w:color w:val="000000"/>
          <w:sz w:val="36"/>
          <w:szCs w:val="36"/>
          <w:highlight w:val="none"/>
        </w:rPr>
        <w:t>………………………</w:t>
      </w:r>
      <w:r>
        <w:rPr>
          <w:rFonts w:hint="eastAsia" w:ascii="宋体" w:hAnsi="宋体" w:eastAsia="宋体" w:cs="宋体"/>
          <w:color w:val="000000"/>
          <w:sz w:val="36"/>
          <w:szCs w:val="36"/>
          <w:highlight w:val="none"/>
          <w:lang w:val="en-US" w:eastAsia="zh-CN"/>
        </w:rPr>
        <w:t xml:space="preserve"> 33</w:t>
      </w:r>
    </w:p>
    <w:p w14:paraId="620E178A">
      <w:pPr>
        <w:pStyle w:val="15"/>
        <w:tabs>
          <w:tab w:val="left" w:pos="1441"/>
        </w:tabs>
        <w:spacing w:beforeAutospacing="0" w:afterAutospacing="0" w:line="480" w:lineRule="auto"/>
        <w:ind w:left="2160" w:hanging="1440"/>
        <w:jc w:val="both"/>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lang w:eastAsia="zh-CN"/>
        </w:rPr>
        <w:t>第五章</w:t>
      </w:r>
      <w:r>
        <w:rPr>
          <w:rFonts w:hint="eastAsia" w:ascii="宋体" w:hAnsi="宋体" w:eastAsia="宋体" w:cs="宋体"/>
          <w:color w:val="000000"/>
          <w:sz w:val="36"/>
          <w:szCs w:val="36"/>
          <w:highlight w:val="none"/>
          <w:lang w:val="en-US" w:eastAsia="zh-CN"/>
        </w:rPr>
        <w:t xml:space="preserve"> </w:t>
      </w:r>
      <w:r>
        <w:rPr>
          <w:rFonts w:hint="eastAsia" w:ascii="宋体" w:hAnsi="宋体" w:eastAsia="宋体" w:cs="宋体"/>
          <w:color w:val="000000"/>
          <w:sz w:val="36"/>
          <w:szCs w:val="36"/>
          <w:highlight w:val="none"/>
        </w:rPr>
        <w:t>评标方法与评标标准………………</w:t>
      </w:r>
      <w:r>
        <w:rPr>
          <w:rFonts w:hint="eastAsia" w:ascii="宋体" w:hAnsi="宋体" w:eastAsia="宋体" w:cs="宋体"/>
          <w:color w:val="000000"/>
          <w:sz w:val="36"/>
          <w:szCs w:val="36"/>
          <w:highlight w:val="none"/>
          <w:lang w:val="en-US" w:eastAsia="zh-CN"/>
        </w:rPr>
        <w:t xml:space="preserve"> 41</w:t>
      </w:r>
    </w:p>
    <w:p w14:paraId="6D203C59">
      <w:pPr>
        <w:pStyle w:val="15"/>
        <w:tabs>
          <w:tab w:val="left" w:pos="1441"/>
        </w:tabs>
        <w:spacing w:beforeAutospacing="0" w:afterAutospacing="0" w:line="480" w:lineRule="auto"/>
        <w:ind w:left="2160" w:hanging="1440"/>
        <w:jc w:val="both"/>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lang w:eastAsia="zh-CN"/>
        </w:rPr>
        <w:t>第六章</w:t>
      </w:r>
      <w:r>
        <w:rPr>
          <w:rFonts w:hint="eastAsia" w:ascii="宋体" w:hAnsi="宋体" w:eastAsia="宋体" w:cs="宋体"/>
          <w:color w:val="000000"/>
          <w:sz w:val="36"/>
          <w:szCs w:val="36"/>
          <w:highlight w:val="none"/>
          <w:lang w:val="en-US" w:eastAsia="zh-CN"/>
        </w:rPr>
        <w:t xml:space="preserve"> </w:t>
      </w:r>
      <w:r>
        <w:rPr>
          <w:rFonts w:hint="eastAsia" w:ascii="宋体" w:hAnsi="宋体" w:eastAsia="宋体" w:cs="宋体"/>
          <w:color w:val="000000"/>
          <w:sz w:val="36"/>
          <w:szCs w:val="36"/>
          <w:highlight w:val="none"/>
        </w:rPr>
        <w:t>投标文件格式………………………</w:t>
      </w:r>
      <w:r>
        <w:rPr>
          <w:rFonts w:hint="eastAsia" w:ascii="宋体" w:hAnsi="宋体" w:eastAsia="宋体" w:cs="宋体"/>
          <w:color w:val="000000"/>
          <w:sz w:val="36"/>
          <w:szCs w:val="36"/>
          <w:highlight w:val="none"/>
          <w:lang w:val="en-US" w:eastAsia="zh-CN"/>
        </w:rPr>
        <w:t xml:space="preserve"> 47</w:t>
      </w:r>
    </w:p>
    <w:p w14:paraId="64341C45">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16364196">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11556BE8">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7B29980D">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1611712B">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69FAA169">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4182AF71">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71654CC7">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04037430">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781B204C">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267F7F03">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27498963">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46A18BE9">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4328D0A4">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6222989F">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16612821">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34917203">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2132A022">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403C6B04">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4D3F100B">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7F92285B">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485CAADD">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46154823">
      <w:pPr>
        <w:pStyle w:val="15"/>
        <w:keepNext/>
        <w:spacing w:beforeAutospacing="0" w:afterAutospacing="0"/>
        <w:jc w:val="center"/>
        <w:rPr>
          <w:rFonts w:hint="eastAsia" w:ascii="宋体" w:hAnsi="宋体" w:eastAsia="宋体" w:cs="宋体"/>
          <w:highlight w:val="none"/>
          <w:lang w:val="en-US" w:eastAsia="zh-CN"/>
        </w:rPr>
      </w:pPr>
      <w:r>
        <w:rPr>
          <w:rFonts w:hint="eastAsia" w:ascii="宋体" w:hAnsi="宋体" w:eastAsia="宋体" w:cs="宋体"/>
          <w:color w:val="000000"/>
          <w:sz w:val="44"/>
          <w:szCs w:val="44"/>
          <w:highlight w:val="none"/>
        </w:rPr>
        <w:t>第一章 </w:t>
      </w:r>
      <w:r>
        <w:rPr>
          <w:rFonts w:hint="eastAsia" w:ascii="宋体" w:hAnsi="宋体" w:eastAsia="宋体" w:cs="宋体"/>
          <w:color w:val="000000"/>
          <w:sz w:val="44"/>
          <w:szCs w:val="44"/>
          <w:highlight w:val="none"/>
          <w:lang w:val="en-US" w:eastAsia="zh-CN"/>
        </w:rPr>
        <w:t>招标公告</w:t>
      </w:r>
    </w:p>
    <w:p w14:paraId="3A37393B">
      <w:pPr>
        <w:pStyle w:val="15"/>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项目概况</w:t>
      </w:r>
    </w:p>
    <w:p w14:paraId="54A8B89E">
      <w:pPr>
        <w:pStyle w:val="15"/>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lang w:eastAsia="zh-CN"/>
        </w:rPr>
        <w:t>万盈镇（原万盈镇、原沈灶镇）第二轮土地承包到期后再延长30年试点技术服务项目JSZC-320904-ZTRC-G2026-0001</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招标项目的潜在投标人可在</w:t>
      </w:r>
      <w:r>
        <w:rPr>
          <w:rFonts w:hint="eastAsia" w:ascii="宋体" w:hAnsi="宋体" w:eastAsia="宋体" w:cs="宋体"/>
          <w:i w:val="0"/>
          <w:iCs w:val="0"/>
          <w:caps w:val="0"/>
          <w:color w:val="333333"/>
          <w:spacing w:val="0"/>
          <w:sz w:val="21"/>
          <w:szCs w:val="21"/>
          <w:highlight w:val="none"/>
          <w:shd w:val="clear" w:fill="FFFFFF"/>
        </w:rPr>
        <w:t>“</w:t>
      </w:r>
      <w:r>
        <w:rPr>
          <w:rFonts w:hint="eastAsia" w:ascii="宋体" w:hAnsi="宋体" w:eastAsia="宋体" w:cs="宋体"/>
          <w:color w:val="000000"/>
          <w:sz w:val="21"/>
          <w:szCs w:val="21"/>
          <w:highlight w:val="none"/>
        </w:rPr>
        <w:t>苏采云”系统内免费下载（投标人必须在苏采云系统中获取采购文件，方能参与政府采购项目），并于</w:t>
      </w:r>
      <w:r>
        <w:rPr>
          <w:rFonts w:hint="eastAsia" w:ascii="宋体" w:hAnsi="宋体" w:eastAsia="宋体" w:cs="宋体"/>
          <w:color w:val="000000"/>
          <w:sz w:val="21"/>
          <w:szCs w:val="21"/>
          <w:highlight w:val="none"/>
          <w:u w:val="single"/>
          <w:lang w:val="en-US" w:eastAsia="zh-CN"/>
        </w:rPr>
        <w:t>2026</w:t>
      </w:r>
      <w:r>
        <w:rPr>
          <w:rFonts w:hint="eastAsia" w:ascii="宋体" w:hAnsi="宋体" w:eastAsia="宋体" w:cs="宋体"/>
          <w:color w:val="000000"/>
          <w:sz w:val="21"/>
          <w:szCs w:val="21"/>
          <w:highlight w:val="none"/>
          <w:u w:val="single"/>
        </w:rPr>
        <w:t>年</w:t>
      </w:r>
      <w:r>
        <w:rPr>
          <w:rFonts w:hint="eastAsia" w:ascii="宋体" w:hAnsi="宋体" w:eastAsia="宋体" w:cs="宋体"/>
          <w:color w:val="000000"/>
          <w:sz w:val="21"/>
          <w:szCs w:val="21"/>
          <w:highlight w:val="none"/>
          <w:u w:val="single"/>
          <w:lang w:val="en-US" w:eastAsia="zh-CN"/>
        </w:rPr>
        <w:t>7</w:t>
      </w:r>
      <w:r>
        <w:rPr>
          <w:rFonts w:hint="eastAsia" w:ascii="宋体" w:hAnsi="宋体" w:eastAsia="宋体" w:cs="宋体"/>
          <w:color w:val="000000"/>
          <w:sz w:val="21"/>
          <w:szCs w:val="21"/>
          <w:highlight w:val="none"/>
          <w:u w:val="single"/>
        </w:rPr>
        <w:t>月</w:t>
      </w:r>
      <w:r>
        <w:rPr>
          <w:rFonts w:hint="eastAsia" w:ascii="宋体" w:hAnsi="宋体" w:eastAsia="宋体" w:cs="宋体"/>
          <w:color w:val="000000"/>
          <w:sz w:val="21"/>
          <w:szCs w:val="21"/>
          <w:highlight w:val="none"/>
          <w:u w:val="single"/>
          <w:lang w:val="en-US" w:eastAsia="zh-CN"/>
        </w:rPr>
        <w:t>7</w:t>
      </w:r>
      <w:r>
        <w:rPr>
          <w:rFonts w:hint="eastAsia" w:ascii="宋体" w:hAnsi="宋体" w:eastAsia="宋体" w:cs="宋体"/>
          <w:color w:val="000000"/>
          <w:sz w:val="21"/>
          <w:szCs w:val="21"/>
          <w:highlight w:val="none"/>
          <w:u w:val="single"/>
        </w:rPr>
        <w:t>日</w:t>
      </w:r>
      <w:r>
        <w:rPr>
          <w:rFonts w:hint="eastAsia" w:ascii="宋体" w:hAnsi="宋体" w:eastAsia="宋体" w:cs="宋体"/>
          <w:color w:val="000000"/>
          <w:sz w:val="21"/>
          <w:szCs w:val="21"/>
          <w:highlight w:val="none"/>
          <w:u w:val="single"/>
          <w:lang w:val="en-US" w:eastAsia="zh-CN"/>
        </w:rPr>
        <w:t>10</w:t>
      </w:r>
      <w:r>
        <w:rPr>
          <w:rFonts w:hint="eastAsia" w:ascii="宋体" w:hAnsi="宋体" w:eastAsia="宋体" w:cs="宋体"/>
          <w:color w:val="000000"/>
          <w:sz w:val="21"/>
          <w:szCs w:val="21"/>
          <w:highlight w:val="none"/>
          <w:u w:val="single"/>
        </w:rPr>
        <w:t>点</w:t>
      </w:r>
      <w:r>
        <w:rPr>
          <w:rFonts w:hint="eastAsia" w:ascii="宋体" w:hAnsi="宋体" w:eastAsia="宋体" w:cs="宋体"/>
          <w:color w:val="000000"/>
          <w:sz w:val="21"/>
          <w:szCs w:val="21"/>
          <w:highlight w:val="none"/>
          <w:u w:val="single"/>
          <w:lang w:val="en-US" w:eastAsia="zh-CN"/>
        </w:rPr>
        <w:t>00</w:t>
      </w:r>
      <w:r>
        <w:rPr>
          <w:rFonts w:hint="eastAsia" w:ascii="宋体" w:hAnsi="宋体" w:eastAsia="宋体" w:cs="宋体"/>
          <w:color w:val="000000"/>
          <w:sz w:val="21"/>
          <w:szCs w:val="21"/>
          <w:highlight w:val="none"/>
          <w:u w:val="single"/>
        </w:rPr>
        <w:t>分（</w:t>
      </w:r>
      <w:r>
        <w:rPr>
          <w:rFonts w:hint="eastAsia" w:ascii="宋体" w:hAnsi="宋体" w:eastAsia="宋体" w:cs="宋体"/>
          <w:color w:val="000000"/>
          <w:sz w:val="21"/>
          <w:szCs w:val="21"/>
          <w:highlight w:val="none"/>
        </w:rPr>
        <w:t>北京时间）前递交投标文件。</w:t>
      </w:r>
    </w:p>
    <w:p w14:paraId="5C0F5791">
      <w:pPr>
        <w:pStyle w:val="15"/>
        <w:keepNext/>
        <w:keepLines/>
        <w:spacing w:before="145" w:beforeAutospacing="0" w:after="145" w:afterAutospacing="0" w:line="360" w:lineRule="auto"/>
        <w:ind w:firstLine="498"/>
        <w:jc w:val="both"/>
        <w:rPr>
          <w:rFonts w:hint="eastAsia" w:ascii="宋体" w:hAnsi="宋体" w:eastAsia="宋体" w:cs="宋体"/>
          <w:sz w:val="21"/>
          <w:szCs w:val="21"/>
          <w:highlight w:val="none"/>
        </w:rPr>
      </w:pPr>
      <w:bookmarkStart w:id="6" w:name="_Toc35393790"/>
      <w:bookmarkStart w:id="7" w:name="_Hlk24379207"/>
      <w:bookmarkStart w:id="8" w:name="_Toc28359002"/>
      <w:bookmarkStart w:id="9" w:name="_Toc38985263"/>
      <w:bookmarkStart w:id="10" w:name="_Toc28359079"/>
      <w:bookmarkStart w:id="11" w:name="_Toc35393621"/>
      <w:r>
        <w:rPr>
          <w:rFonts w:hint="eastAsia" w:ascii="宋体" w:hAnsi="宋体" w:eastAsia="宋体" w:cs="宋体"/>
          <w:b/>
          <w:color w:val="000000"/>
          <w:sz w:val="21"/>
          <w:szCs w:val="21"/>
          <w:highlight w:val="none"/>
        </w:rPr>
        <w:t>一、项目基本情况</w:t>
      </w:r>
      <w:bookmarkEnd w:id="6"/>
      <w:bookmarkEnd w:id="7"/>
      <w:bookmarkEnd w:id="8"/>
      <w:bookmarkEnd w:id="9"/>
      <w:bookmarkEnd w:id="10"/>
      <w:bookmarkEnd w:id="11"/>
    </w:p>
    <w:p w14:paraId="17C05C1F">
      <w:pPr>
        <w:pStyle w:val="1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1.项目编号：JSZC-320904-ZTRC-G2026-0001</w:t>
      </w:r>
      <w:r>
        <w:rPr>
          <w:rFonts w:hint="eastAsia" w:ascii="宋体" w:hAnsi="宋体" w:eastAsia="宋体" w:cs="宋体"/>
          <w:color w:val="000000"/>
          <w:sz w:val="21"/>
          <w:szCs w:val="21"/>
          <w:highlight w:val="none"/>
          <w:lang w:val="en-US" w:eastAsia="zh-CN"/>
        </w:rPr>
        <w:t xml:space="preserve"> </w:t>
      </w:r>
    </w:p>
    <w:p w14:paraId="724DA292">
      <w:pPr>
        <w:pStyle w:val="1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2.项目名称：</w:t>
      </w:r>
      <w:r>
        <w:rPr>
          <w:rFonts w:hint="eastAsia" w:ascii="宋体" w:hAnsi="宋体" w:eastAsia="宋体" w:cs="宋体"/>
          <w:color w:val="000000"/>
          <w:sz w:val="21"/>
          <w:szCs w:val="21"/>
          <w:highlight w:val="none"/>
          <w:lang w:eastAsia="zh-CN"/>
        </w:rPr>
        <w:t>万盈镇（原万盈镇、原沈灶镇）第二轮土地承包到期后再延长30年试点技术服务项目。</w:t>
      </w:r>
    </w:p>
    <w:p w14:paraId="35EBDC8A">
      <w:pPr>
        <w:pStyle w:val="1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aps w:val="0"/>
          <w:color w:val="333333"/>
          <w:spacing w:val="0"/>
          <w:sz w:val="21"/>
          <w:szCs w:val="21"/>
          <w:highlight w:val="none"/>
          <w:shd w:val="clear" w:fill="FFFFFF"/>
          <w:lang w:val="en-US" w:eastAsia="zh-CN"/>
        </w:rPr>
        <w:t>3.</w:t>
      </w:r>
      <w:r>
        <w:rPr>
          <w:rFonts w:hint="eastAsia" w:ascii="宋体" w:hAnsi="宋体" w:eastAsia="宋体" w:cs="宋体"/>
          <w:i w:val="0"/>
          <w:iCs w:val="0"/>
          <w:caps w:val="0"/>
          <w:color w:val="333333"/>
          <w:spacing w:val="0"/>
          <w:sz w:val="21"/>
          <w:szCs w:val="21"/>
          <w:highlight w:val="none"/>
          <w:shd w:val="clear" w:fill="FFFFFF"/>
        </w:rPr>
        <w:t>采购方</w:t>
      </w:r>
      <w:r>
        <w:rPr>
          <w:rFonts w:hint="eastAsia" w:ascii="宋体" w:hAnsi="宋体" w:eastAsia="宋体" w:cs="宋体"/>
          <w:color w:val="000000"/>
          <w:sz w:val="21"/>
          <w:szCs w:val="21"/>
          <w:highlight w:val="none"/>
          <w:lang w:eastAsia="zh-CN"/>
        </w:rPr>
        <w:t>式：</w:t>
      </w:r>
      <w:r>
        <w:rPr>
          <w:rFonts w:hint="eastAsia" w:ascii="宋体" w:hAnsi="宋体" w:eastAsia="宋体" w:cs="宋体"/>
          <w:color w:val="000000"/>
          <w:sz w:val="21"/>
          <w:szCs w:val="21"/>
          <w:highlight w:val="none"/>
          <w:lang w:val="en-US" w:eastAsia="zh-CN"/>
        </w:rPr>
        <w:t>公开招标。</w:t>
      </w:r>
    </w:p>
    <w:p w14:paraId="77D4E8A3">
      <w:pPr>
        <w:pStyle w:val="1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.预算金额：本项目共分</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个</w:t>
      </w:r>
      <w:r>
        <w:rPr>
          <w:rFonts w:hint="eastAsia" w:ascii="宋体" w:hAnsi="宋体" w:eastAsia="宋体" w:cs="宋体"/>
          <w:color w:val="000000"/>
          <w:sz w:val="21"/>
          <w:szCs w:val="21"/>
          <w:highlight w:val="none"/>
          <w:lang w:val="en-US" w:eastAsia="zh-CN"/>
        </w:rPr>
        <w:t>标段</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一标段,</w:t>
      </w:r>
      <w:r>
        <w:rPr>
          <w:rFonts w:hint="eastAsia" w:ascii="宋体" w:hAnsi="宋体" w:eastAsia="宋体" w:cs="宋体"/>
          <w:color w:val="000000"/>
          <w:sz w:val="21"/>
          <w:szCs w:val="21"/>
          <w:highlight w:val="none"/>
          <w:lang w:eastAsia="zh-CN"/>
        </w:rPr>
        <w:t>万盈镇（</w:t>
      </w:r>
      <w:r>
        <w:rPr>
          <w:rFonts w:hint="eastAsia" w:ascii="宋体" w:hAnsi="宋体" w:eastAsia="宋体" w:cs="宋体"/>
          <w:color w:val="000000"/>
          <w:sz w:val="21"/>
          <w:szCs w:val="21"/>
          <w:highlight w:val="none"/>
          <w:u w:val="none"/>
          <w:lang w:val="en-US" w:eastAsia="zh-CN"/>
        </w:rPr>
        <w:t>原万盈镇</w:t>
      </w:r>
      <w:r>
        <w:rPr>
          <w:rFonts w:hint="eastAsia" w:ascii="宋体" w:hAnsi="宋体" w:eastAsia="宋体" w:cs="宋体"/>
          <w:color w:val="000000"/>
          <w:sz w:val="21"/>
          <w:szCs w:val="21"/>
          <w:highlight w:val="none"/>
          <w:lang w:eastAsia="zh-CN"/>
        </w:rPr>
        <w:t>）第二轮土地承包到期后再延长30年试点技术服务项目，</w:t>
      </w:r>
      <w:r>
        <w:rPr>
          <w:rFonts w:hint="eastAsia" w:ascii="宋体" w:hAnsi="宋体" w:eastAsia="宋体" w:cs="宋体"/>
          <w:color w:val="000000"/>
          <w:sz w:val="21"/>
          <w:szCs w:val="21"/>
          <w:highlight w:val="none"/>
          <w:lang w:val="en-US" w:eastAsia="zh-CN"/>
        </w:rPr>
        <w:t>71.35万元；二标段,</w:t>
      </w:r>
      <w:r>
        <w:rPr>
          <w:rFonts w:hint="eastAsia" w:ascii="宋体" w:hAnsi="宋体" w:eastAsia="宋体" w:cs="宋体"/>
          <w:color w:val="000000"/>
          <w:sz w:val="21"/>
          <w:szCs w:val="21"/>
          <w:highlight w:val="none"/>
          <w:lang w:eastAsia="zh-CN"/>
        </w:rPr>
        <w:t>万盈镇（原沈灶镇）第二轮土地承包到期后再延长30年试点技术服务项目，</w:t>
      </w:r>
      <w:r>
        <w:rPr>
          <w:rFonts w:hint="eastAsia" w:ascii="宋体" w:hAnsi="宋体" w:eastAsia="宋体" w:cs="宋体"/>
          <w:color w:val="000000"/>
          <w:sz w:val="21"/>
          <w:szCs w:val="21"/>
          <w:highlight w:val="none"/>
          <w:lang w:val="en-US" w:eastAsia="zh-CN"/>
        </w:rPr>
        <w:t>70.70万元。</w:t>
      </w:r>
    </w:p>
    <w:p w14:paraId="4077C404">
      <w:pPr>
        <w:pStyle w:val="1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最高</w:t>
      </w:r>
      <w:r>
        <w:rPr>
          <w:rFonts w:hint="eastAsia" w:ascii="宋体" w:hAnsi="宋体" w:eastAsia="宋体" w:cs="宋体"/>
          <w:color w:val="000000"/>
          <w:sz w:val="21"/>
          <w:szCs w:val="21"/>
          <w:highlight w:val="none"/>
          <w:lang w:eastAsia="zh-CN"/>
        </w:rPr>
        <w:t>限价：</w:t>
      </w:r>
      <w:r>
        <w:rPr>
          <w:rFonts w:hint="eastAsia" w:ascii="宋体" w:hAnsi="宋体" w:eastAsia="宋体" w:cs="宋体"/>
          <w:color w:val="000000"/>
          <w:sz w:val="21"/>
          <w:szCs w:val="21"/>
          <w:highlight w:val="none"/>
        </w:rPr>
        <w:t>本项目共分</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个</w:t>
      </w:r>
      <w:r>
        <w:rPr>
          <w:rFonts w:hint="eastAsia" w:ascii="宋体" w:hAnsi="宋体" w:eastAsia="宋体" w:cs="宋体"/>
          <w:color w:val="000000"/>
          <w:sz w:val="21"/>
          <w:szCs w:val="21"/>
          <w:highlight w:val="none"/>
          <w:lang w:val="en-US" w:eastAsia="zh-CN"/>
        </w:rPr>
        <w:t>标段</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一标段,</w:t>
      </w:r>
      <w:r>
        <w:rPr>
          <w:rFonts w:hint="eastAsia" w:ascii="宋体" w:hAnsi="宋体" w:eastAsia="宋体" w:cs="宋体"/>
          <w:color w:val="000000"/>
          <w:sz w:val="21"/>
          <w:szCs w:val="21"/>
          <w:highlight w:val="none"/>
          <w:lang w:eastAsia="zh-CN"/>
        </w:rPr>
        <w:t>万盈镇（</w:t>
      </w:r>
      <w:r>
        <w:rPr>
          <w:rFonts w:hint="eastAsia" w:ascii="宋体" w:hAnsi="宋体" w:eastAsia="宋体" w:cs="宋体"/>
          <w:color w:val="000000"/>
          <w:sz w:val="21"/>
          <w:szCs w:val="21"/>
          <w:highlight w:val="none"/>
          <w:u w:val="none"/>
          <w:lang w:val="en-US" w:eastAsia="zh-CN"/>
        </w:rPr>
        <w:t>原万盈镇</w:t>
      </w:r>
      <w:r>
        <w:rPr>
          <w:rFonts w:hint="eastAsia" w:ascii="宋体" w:hAnsi="宋体" w:eastAsia="宋体" w:cs="宋体"/>
          <w:color w:val="000000"/>
          <w:sz w:val="21"/>
          <w:szCs w:val="21"/>
          <w:highlight w:val="none"/>
          <w:lang w:eastAsia="zh-CN"/>
        </w:rPr>
        <w:t>）第二轮土地承包到期后再延长30年试点技术服务项目，</w:t>
      </w:r>
      <w:r>
        <w:rPr>
          <w:rFonts w:hint="eastAsia" w:ascii="宋体" w:hAnsi="宋体" w:eastAsia="宋体" w:cs="宋体"/>
          <w:color w:val="000000"/>
          <w:sz w:val="21"/>
          <w:szCs w:val="21"/>
          <w:highlight w:val="none"/>
          <w:lang w:val="en-US" w:eastAsia="zh-CN"/>
        </w:rPr>
        <w:t>71.35万元（投标单价不超过11.6元/亩，最终按实测面积结算）；二标段,</w:t>
      </w:r>
      <w:r>
        <w:rPr>
          <w:rFonts w:hint="eastAsia" w:ascii="宋体" w:hAnsi="宋体" w:eastAsia="宋体" w:cs="宋体"/>
          <w:color w:val="000000"/>
          <w:sz w:val="21"/>
          <w:szCs w:val="21"/>
          <w:highlight w:val="none"/>
          <w:lang w:eastAsia="zh-CN"/>
        </w:rPr>
        <w:t>万盈镇（原沈灶镇）第二轮土地承包到期后再延长30年试点技术服务项目，</w:t>
      </w:r>
      <w:r>
        <w:rPr>
          <w:rFonts w:hint="eastAsia" w:ascii="宋体" w:hAnsi="宋体" w:eastAsia="宋体" w:cs="宋体"/>
          <w:color w:val="000000"/>
          <w:sz w:val="21"/>
          <w:szCs w:val="21"/>
          <w:highlight w:val="none"/>
          <w:lang w:val="en-US" w:eastAsia="zh-CN"/>
        </w:rPr>
        <w:t>70.70万元（投标单价不超过11.6元/亩，最终按实测面积结算）。</w:t>
      </w:r>
    </w:p>
    <w:p w14:paraId="2F3263F6">
      <w:pPr>
        <w:pStyle w:val="1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lang w:eastAsia="zh-CN"/>
        </w:rPr>
        <w:t>招标服务需求</w:t>
      </w:r>
      <w:r>
        <w:rPr>
          <w:rFonts w:hint="eastAsia" w:ascii="宋体" w:hAnsi="宋体" w:eastAsia="宋体" w:cs="宋体"/>
          <w:color w:val="000000"/>
          <w:sz w:val="21"/>
          <w:szCs w:val="21"/>
          <w:highlight w:val="none"/>
        </w:rPr>
        <w:t>（简介）：</w:t>
      </w:r>
      <w:r>
        <w:rPr>
          <w:rFonts w:hint="eastAsia" w:ascii="宋体" w:hAnsi="宋体" w:eastAsia="宋体" w:cs="宋体"/>
          <w:color w:val="000000"/>
          <w:sz w:val="21"/>
          <w:szCs w:val="21"/>
          <w:highlight w:val="none"/>
          <w:lang w:eastAsia="zh-CN"/>
        </w:rPr>
        <w:t>万盈镇（</w:t>
      </w:r>
      <w:r>
        <w:rPr>
          <w:rFonts w:hint="eastAsia" w:ascii="宋体" w:hAnsi="宋体" w:eastAsia="宋体" w:cs="宋体"/>
          <w:color w:val="000000"/>
          <w:sz w:val="21"/>
          <w:szCs w:val="21"/>
          <w:highlight w:val="none"/>
          <w:u w:val="none"/>
          <w:lang w:val="en-US" w:eastAsia="zh-CN"/>
        </w:rPr>
        <w:t>原万盈镇、原沈灶镇</w:t>
      </w:r>
      <w:r>
        <w:rPr>
          <w:rFonts w:hint="eastAsia" w:ascii="宋体" w:hAnsi="宋体" w:eastAsia="宋体" w:cs="宋体"/>
          <w:color w:val="000000"/>
          <w:sz w:val="21"/>
          <w:szCs w:val="21"/>
          <w:highlight w:val="none"/>
          <w:lang w:eastAsia="zh-CN"/>
        </w:rPr>
        <w:t>）第二轮土地承包到期后再延长30年试点技术服务项目</w:t>
      </w:r>
      <w:r>
        <w:rPr>
          <w:rFonts w:hint="eastAsia" w:ascii="宋体" w:hAnsi="宋体" w:eastAsia="宋体" w:cs="宋体"/>
          <w:color w:val="000000"/>
          <w:sz w:val="21"/>
          <w:szCs w:val="21"/>
          <w:highlight w:val="none"/>
          <w:lang w:val="en-US" w:eastAsia="zh-CN"/>
        </w:rPr>
        <w:t>，一标段</w:t>
      </w:r>
      <w:r>
        <w:rPr>
          <w:rFonts w:hint="eastAsia" w:ascii="宋体" w:hAnsi="宋体" w:eastAsia="宋体" w:cs="宋体"/>
          <w:color w:val="000000"/>
          <w:sz w:val="21"/>
          <w:szCs w:val="21"/>
          <w:highlight w:val="none"/>
          <w:lang w:eastAsia="zh-CN"/>
        </w:rPr>
        <w:t>万盈镇（</w:t>
      </w:r>
      <w:r>
        <w:rPr>
          <w:rFonts w:hint="eastAsia" w:ascii="宋体" w:hAnsi="宋体" w:eastAsia="宋体" w:cs="宋体"/>
          <w:color w:val="000000"/>
          <w:sz w:val="21"/>
          <w:szCs w:val="21"/>
          <w:highlight w:val="none"/>
          <w:u w:val="none"/>
          <w:lang w:val="en-US" w:eastAsia="zh-CN"/>
        </w:rPr>
        <w:t>原万盈镇</w:t>
      </w:r>
      <w:r>
        <w:rPr>
          <w:rFonts w:hint="eastAsia" w:ascii="宋体" w:hAnsi="宋体" w:eastAsia="宋体" w:cs="宋体"/>
          <w:color w:val="000000"/>
          <w:sz w:val="21"/>
          <w:szCs w:val="21"/>
          <w:highlight w:val="none"/>
          <w:lang w:eastAsia="zh-CN"/>
        </w:rPr>
        <w:t>）第二轮土地承包到期后再延长30年试点技术服务项目</w:t>
      </w:r>
      <w:r>
        <w:rPr>
          <w:rFonts w:hint="eastAsia" w:ascii="宋体" w:hAnsi="宋体" w:eastAsia="宋体" w:cs="宋体"/>
          <w:color w:val="000000"/>
          <w:sz w:val="21"/>
          <w:szCs w:val="21"/>
          <w:highlight w:val="none"/>
          <w:lang w:val="en-US" w:eastAsia="zh-CN"/>
        </w:rPr>
        <w:t>涉及到大丰区</w:t>
      </w:r>
      <w:r>
        <w:rPr>
          <w:rFonts w:hint="eastAsia" w:ascii="宋体" w:hAnsi="宋体" w:eastAsia="宋体" w:cs="宋体"/>
          <w:color w:val="000000"/>
          <w:sz w:val="21"/>
          <w:szCs w:val="21"/>
          <w:highlight w:val="none"/>
          <w:u w:val="none"/>
          <w:lang w:val="en-US" w:eastAsia="zh-CN"/>
        </w:rPr>
        <w:t>原万盈镇</w:t>
      </w:r>
      <w:r>
        <w:rPr>
          <w:rFonts w:hint="eastAsia" w:ascii="宋体" w:hAnsi="宋体" w:eastAsia="宋体" w:cs="宋体"/>
          <w:color w:val="000000"/>
          <w:sz w:val="21"/>
          <w:szCs w:val="21"/>
          <w:highlight w:val="none"/>
          <w:lang w:val="en-US" w:eastAsia="zh-CN"/>
        </w:rPr>
        <w:t>7299户，面积约61500亩；二标段</w:t>
      </w:r>
      <w:r>
        <w:rPr>
          <w:rFonts w:hint="eastAsia" w:ascii="宋体" w:hAnsi="宋体" w:eastAsia="宋体" w:cs="宋体"/>
          <w:color w:val="000000"/>
          <w:sz w:val="21"/>
          <w:szCs w:val="21"/>
          <w:highlight w:val="none"/>
          <w:lang w:eastAsia="zh-CN"/>
        </w:rPr>
        <w:t>万盈镇（</w:t>
      </w:r>
      <w:r>
        <w:rPr>
          <w:rFonts w:hint="eastAsia" w:ascii="宋体" w:hAnsi="宋体" w:eastAsia="宋体" w:cs="宋体"/>
          <w:color w:val="000000"/>
          <w:sz w:val="21"/>
          <w:szCs w:val="21"/>
          <w:highlight w:val="none"/>
          <w:u w:val="none"/>
          <w:lang w:val="en-US" w:eastAsia="zh-CN"/>
        </w:rPr>
        <w:t>原沈灶镇</w:t>
      </w:r>
      <w:r>
        <w:rPr>
          <w:rFonts w:hint="eastAsia" w:ascii="宋体" w:hAnsi="宋体" w:eastAsia="宋体" w:cs="宋体"/>
          <w:color w:val="000000"/>
          <w:sz w:val="21"/>
          <w:szCs w:val="21"/>
          <w:highlight w:val="none"/>
          <w:lang w:eastAsia="zh-CN"/>
        </w:rPr>
        <w:t>）第二轮土地承包到期后再延长30年试点技术服务项目</w:t>
      </w:r>
      <w:r>
        <w:rPr>
          <w:rFonts w:hint="eastAsia" w:ascii="宋体" w:hAnsi="宋体" w:eastAsia="宋体" w:cs="宋体"/>
          <w:color w:val="000000"/>
          <w:sz w:val="21"/>
          <w:szCs w:val="21"/>
          <w:highlight w:val="none"/>
          <w:lang w:val="en-US" w:eastAsia="zh-CN"/>
        </w:rPr>
        <w:t>涉及到大丰区原沈灶镇7605户，面积约61000亩。主要包括但不限于以下内容:前期数据收集，技术指导及培训，协助村级开展摸底调查和变更资料收集、信息核对、实测指界，补充测绘、数据修改入库，指导村组制定延包方案、延包数据处理、公示培训、合同签订(含网签业务指导培训、网签相关材料收集及业务数据处理等)、资料输出打印、档案整理、数据汇交、地籍调查、完善证书等工作，最终成果必须符合</w:t>
      </w:r>
      <w:r>
        <w:rPr>
          <w:rFonts w:hint="eastAsia" w:ascii="宋体" w:hAnsi="宋体" w:eastAsia="宋体" w:cs="宋体"/>
          <w:b/>
          <w:bCs/>
          <w:color w:val="000000"/>
          <w:sz w:val="21"/>
          <w:szCs w:val="21"/>
          <w:highlight w:val="none"/>
          <w:lang w:val="en-US" w:eastAsia="zh-CN"/>
        </w:rPr>
        <w:t>农业部门</w:t>
      </w:r>
      <w:r>
        <w:rPr>
          <w:rFonts w:hint="eastAsia" w:ascii="宋体" w:hAnsi="宋体" w:eastAsia="宋体" w:cs="宋体"/>
          <w:color w:val="000000"/>
          <w:sz w:val="21"/>
          <w:szCs w:val="21"/>
          <w:highlight w:val="none"/>
          <w:lang w:val="en-US" w:eastAsia="zh-CN"/>
        </w:rPr>
        <w:t>和</w:t>
      </w:r>
      <w:r>
        <w:rPr>
          <w:rFonts w:hint="eastAsia" w:ascii="宋体" w:hAnsi="宋体" w:eastAsia="宋体" w:cs="宋体"/>
          <w:b/>
          <w:bCs/>
          <w:color w:val="000000"/>
          <w:sz w:val="21"/>
          <w:szCs w:val="21"/>
          <w:highlight w:val="none"/>
          <w:lang w:val="en-US" w:eastAsia="zh-CN"/>
        </w:rPr>
        <w:t>自然资源部门</w:t>
      </w:r>
      <w:r>
        <w:rPr>
          <w:rFonts w:hint="eastAsia" w:ascii="宋体" w:hAnsi="宋体" w:eastAsia="宋体" w:cs="宋体"/>
          <w:color w:val="000000"/>
          <w:sz w:val="21"/>
          <w:szCs w:val="21"/>
          <w:highlight w:val="none"/>
          <w:lang w:val="en-US" w:eastAsia="zh-CN"/>
        </w:rPr>
        <w:t>要求。</w:t>
      </w:r>
      <w:r>
        <w:rPr>
          <w:rFonts w:hint="eastAsia" w:ascii="宋体" w:hAnsi="宋体" w:eastAsia="宋体" w:cs="宋体"/>
          <w:color w:val="000000"/>
          <w:sz w:val="21"/>
          <w:szCs w:val="21"/>
          <w:highlight w:val="none"/>
        </w:rPr>
        <w:t>（详细内容见本</w:t>
      </w:r>
      <w:r>
        <w:rPr>
          <w:rFonts w:hint="eastAsia" w:ascii="宋体" w:hAnsi="宋体" w:eastAsia="宋体" w:cs="宋体"/>
          <w:color w:val="000000"/>
          <w:sz w:val="21"/>
          <w:szCs w:val="21"/>
          <w:highlight w:val="none"/>
          <w:lang w:val="en-US" w:eastAsia="zh-CN"/>
        </w:rPr>
        <w:t>招标</w:t>
      </w:r>
      <w:r>
        <w:rPr>
          <w:rFonts w:hint="eastAsia" w:ascii="宋体" w:hAnsi="宋体" w:eastAsia="宋体" w:cs="宋体"/>
          <w:color w:val="000000"/>
          <w:sz w:val="21"/>
          <w:szCs w:val="21"/>
          <w:highlight w:val="none"/>
        </w:rPr>
        <w:t>文件第四章）</w:t>
      </w:r>
    </w:p>
    <w:p w14:paraId="2C80DF05">
      <w:pPr>
        <w:pStyle w:val="1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注：</w:t>
      </w:r>
      <w:r>
        <w:rPr>
          <w:rFonts w:hint="eastAsia" w:ascii="宋体" w:hAnsi="宋体" w:eastAsia="宋体" w:cs="宋体"/>
          <w:color w:val="000000"/>
          <w:sz w:val="21"/>
          <w:szCs w:val="21"/>
          <w:highlight w:val="none"/>
          <w:lang w:val="en-US" w:eastAsia="zh-CN"/>
        </w:rPr>
        <w:t>各供应商可对本项目部分标段或全部标段进行投标，供应商投某一标段时，必须对该标段的全部内容进行投标，否则采购人不予接受,每个供应商仅能中一个标段，开标、评标、定标顺序为标段一</w:t>
      </w:r>
      <w:r>
        <w:rPr>
          <w:rFonts w:hint="eastAsia" w:ascii="宋体" w:hAnsi="宋体" w:eastAsia="宋体" w:cs="宋体"/>
          <w:color w:val="000000"/>
          <w:sz w:val="21"/>
          <w:szCs w:val="21"/>
          <w:highlight w:val="none"/>
          <w:lang w:eastAsia="zh-CN"/>
        </w:rPr>
        <w:t>万盈镇（原</w:t>
      </w:r>
      <w:r>
        <w:rPr>
          <w:rFonts w:hint="eastAsia" w:ascii="宋体" w:hAnsi="宋体" w:eastAsia="宋体" w:cs="宋体"/>
          <w:color w:val="000000"/>
          <w:sz w:val="21"/>
          <w:szCs w:val="21"/>
          <w:highlight w:val="none"/>
          <w:lang w:val="en-US" w:eastAsia="zh-CN"/>
        </w:rPr>
        <w:t>万盈</w:t>
      </w:r>
      <w:r>
        <w:rPr>
          <w:rFonts w:hint="eastAsia" w:ascii="宋体" w:hAnsi="宋体" w:eastAsia="宋体" w:cs="宋体"/>
          <w:color w:val="000000"/>
          <w:sz w:val="21"/>
          <w:szCs w:val="21"/>
          <w:highlight w:val="none"/>
          <w:lang w:eastAsia="zh-CN"/>
        </w:rPr>
        <w:t>镇）第二轮土地承包到期后再延长30年试点技术服务项目</w:t>
      </w:r>
      <w:r>
        <w:rPr>
          <w:rFonts w:hint="eastAsia" w:ascii="宋体" w:hAnsi="宋体" w:eastAsia="宋体" w:cs="宋体"/>
          <w:color w:val="000000"/>
          <w:sz w:val="21"/>
          <w:szCs w:val="21"/>
          <w:highlight w:val="none"/>
          <w:lang w:val="en-US" w:eastAsia="zh-CN"/>
        </w:rPr>
        <w:t>→标段二</w:t>
      </w:r>
      <w:r>
        <w:rPr>
          <w:rFonts w:hint="eastAsia" w:ascii="宋体" w:hAnsi="宋体" w:eastAsia="宋体" w:cs="宋体"/>
          <w:color w:val="000000"/>
          <w:sz w:val="21"/>
          <w:szCs w:val="21"/>
          <w:highlight w:val="none"/>
          <w:lang w:eastAsia="zh-CN"/>
        </w:rPr>
        <w:t>万盈镇（原</w:t>
      </w:r>
      <w:r>
        <w:rPr>
          <w:rFonts w:hint="eastAsia" w:ascii="宋体" w:hAnsi="宋体" w:eastAsia="宋体" w:cs="宋体"/>
          <w:color w:val="000000"/>
          <w:sz w:val="21"/>
          <w:szCs w:val="21"/>
          <w:highlight w:val="none"/>
          <w:lang w:val="en-US" w:eastAsia="zh-CN"/>
        </w:rPr>
        <w:t>沈灶镇</w:t>
      </w:r>
      <w:r>
        <w:rPr>
          <w:rFonts w:hint="eastAsia" w:ascii="宋体" w:hAnsi="宋体" w:eastAsia="宋体" w:cs="宋体"/>
          <w:color w:val="000000"/>
          <w:sz w:val="21"/>
          <w:szCs w:val="21"/>
          <w:highlight w:val="none"/>
          <w:lang w:eastAsia="zh-CN"/>
        </w:rPr>
        <w:t>）第二轮土地承包到期后再延长30年试点技术服务项目</w:t>
      </w:r>
      <w:r>
        <w:rPr>
          <w:rFonts w:hint="eastAsia" w:ascii="宋体" w:hAnsi="宋体" w:eastAsia="宋体" w:cs="宋体"/>
          <w:color w:val="000000"/>
          <w:sz w:val="21"/>
          <w:szCs w:val="21"/>
          <w:highlight w:val="none"/>
          <w:lang w:val="en-US" w:eastAsia="zh-CN"/>
        </w:rPr>
        <w:t>，在前一个采购包评标过程中被推荐为第一中标候选人的投标人将不作为后续采购包中标候选人的推荐，但其有效投标报价仍参与后续采购包的评审。</w:t>
      </w:r>
    </w:p>
    <w:p w14:paraId="088BAC19">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.合同履行期限</w:t>
      </w:r>
      <w:r>
        <w:rPr>
          <w:rFonts w:hint="eastAsia" w:ascii="宋体" w:hAnsi="宋体" w:eastAsia="宋体" w:cs="宋体"/>
          <w:color w:val="000000"/>
          <w:kern w:val="0"/>
          <w:sz w:val="21"/>
          <w:szCs w:val="21"/>
          <w:highlight w:val="none"/>
          <w:lang w:val="en-US" w:eastAsia="zh-CN" w:bidi="ar-SA"/>
        </w:rPr>
        <w:t>：</w:t>
      </w:r>
      <w:r>
        <w:rPr>
          <w:rFonts w:hint="eastAsia" w:ascii="宋体" w:hAnsi="宋体" w:eastAsia="宋体" w:cs="宋体"/>
          <w:color w:val="000000"/>
          <w:sz w:val="21"/>
          <w:szCs w:val="21"/>
          <w:highlight w:val="none"/>
          <w:lang w:val="en-US" w:eastAsia="zh-CN"/>
        </w:rPr>
        <w:t>自本项目合同签订之日起至2026年12月底签订土地延包合同，2027年2月底完成资料登记归档；2027年4月底配合完成不动产权证统一登记工作。有矛盾暂缓延包的须在2028年8月31日前继续提供技术服务（具体时间以上级实际工作进度要求为准）。</w:t>
      </w:r>
    </w:p>
    <w:p w14:paraId="52432C18">
      <w:pPr>
        <w:pStyle w:val="1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本项目（是/否）接受联合体参与</w:t>
      </w:r>
      <w:r>
        <w:rPr>
          <w:rFonts w:hint="eastAsia" w:ascii="宋体" w:hAnsi="宋体" w:eastAsia="宋体" w:cs="宋体"/>
          <w:color w:val="000000"/>
          <w:sz w:val="21"/>
          <w:szCs w:val="21"/>
          <w:highlight w:val="none"/>
          <w:lang w:val="en-US" w:eastAsia="zh-CN"/>
        </w:rPr>
        <w:t>招标</w:t>
      </w:r>
      <w:r>
        <w:rPr>
          <w:rFonts w:hint="eastAsia" w:ascii="宋体" w:hAnsi="宋体" w:eastAsia="宋体" w:cs="宋体"/>
          <w:color w:val="000000"/>
          <w:sz w:val="21"/>
          <w:szCs w:val="21"/>
          <w:highlight w:val="none"/>
          <w:lang w:eastAsia="zh-CN"/>
        </w:rPr>
        <w:t>：</w:t>
      </w:r>
      <w:r>
        <w:rPr>
          <w:rFonts w:hint="eastAsia" w:ascii="宋体" w:hAnsi="宋体" w:eastAsia="宋体" w:cs="宋体"/>
          <w:sz w:val="21"/>
          <w:szCs w:val="21"/>
        </w:rPr>
        <w:t>不接受联合体参与投标</w:t>
      </w:r>
      <w:r>
        <w:rPr>
          <w:rFonts w:hint="eastAsia" w:ascii="宋体" w:hAnsi="宋体" w:eastAsia="宋体" w:cs="宋体"/>
          <w:sz w:val="21"/>
          <w:szCs w:val="21"/>
          <w:lang w:eastAsia="zh-CN"/>
        </w:rPr>
        <w:t>。</w:t>
      </w:r>
    </w:p>
    <w:p w14:paraId="0D95F988">
      <w:pPr>
        <w:pStyle w:val="15"/>
        <w:keepNext/>
        <w:keepLines/>
        <w:pageBreakBefore w:val="0"/>
        <w:kinsoku/>
        <w:wordWrap/>
        <w:overflowPunct/>
        <w:topLinePunct w:val="0"/>
        <w:autoSpaceDE/>
        <w:autoSpaceDN/>
        <w:bidi w:val="0"/>
        <w:adjustRightInd/>
        <w:snapToGrid/>
        <w:spacing w:before="145" w:beforeAutospacing="0" w:after="145" w:afterAutospacing="0" w:line="500" w:lineRule="exact"/>
        <w:ind w:firstLine="498"/>
        <w:jc w:val="both"/>
        <w:textAlignment w:val="auto"/>
        <w:rPr>
          <w:rFonts w:hint="eastAsia" w:ascii="宋体" w:hAnsi="宋体" w:eastAsia="宋体" w:cs="宋体"/>
          <w:sz w:val="21"/>
          <w:szCs w:val="21"/>
          <w:highlight w:val="none"/>
        </w:rPr>
      </w:pPr>
      <w:bookmarkStart w:id="12" w:name="_Toc35393791"/>
      <w:bookmarkStart w:id="13" w:name="_Toc35393622"/>
      <w:bookmarkStart w:id="14" w:name="_Toc28359080"/>
      <w:bookmarkStart w:id="15" w:name="_Toc38985264"/>
      <w:bookmarkStart w:id="16" w:name="_Toc28359003"/>
      <w:r>
        <w:rPr>
          <w:rFonts w:hint="eastAsia" w:ascii="宋体" w:hAnsi="宋体" w:eastAsia="宋体" w:cs="宋体"/>
          <w:b/>
          <w:color w:val="000000"/>
          <w:sz w:val="21"/>
          <w:szCs w:val="21"/>
          <w:highlight w:val="none"/>
        </w:rPr>
        <w:t>二、申请人的资格要求：</w:t>
      </w:r>
      <w:bookmarkEnd w:id="12"/>
      <w:bookmarkEnd w:id="13"/>
      <w:bookmarkEnd w:id="14"/>
      <w:bookmarkEnd w:id="15"/>
      <w:bookmarkEnd w:id="16"/>
    </w:p>
    <w:p w14:paraId="1D22B421">
      <w:pPr>
        <w:pStyle w:val="1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1.满足《中华人民共和国政府采购法》第二十二条规定，并提供下列材料：</w:t>
      </w:r>
    </w:p>
    <w:p w14:paraId="3839587F">
      <w:pPr>
        <w:pStyle w:val="1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1.1 法人或者其他组织的营业执照等证明文件，自然人的身份证明；</w:t>
      </w:r>
    </w:p>
    <w:p w14:paraId="747B7FCD">
      <w:pPr>
        <w:pStyle w:val="1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1.2上一年度的财务状况报</w:t>
      </w:r>
      <w:r>
        <w:rPr>
          <w:rFonts w:hint="eastAsia" w:ascii="宋体" w:hAnsi="宋体" w:eastAsia="宋体" w:cs="宋体"/>
          <w:color w:val="000000"/>
          <w:sz w:val="21"/>
          <w:szCs w:val="21"/>
          <w:highlight w:val="none"/>
          <w:lang w:val="en-US" w:eastAsia="zh-CN"/>
        </w:rPr>
        <w:t>告</w:t>
      </w:r>
      <w:r>
        <w:rPr>
          <w:rFonts w:hint="eastAsia" w:ascii="宋体" w:hAnsi="宋体" w:eastAsia="宋体" w:cs="宋体"/>
          <w:color w:val="000000"/>
          <w:sz w:val="21"/>
          <w:szCs w:val="21"/>
          <w:highlight w:val="none"/>
        </w:rPr>
        <w:t>（</w:t>
      </w:r>
      <w:r>
        <w:rPr>
          <w:rFonts w:hint="eastAsia" w:ascii="宋体" w:hAnsi="宋体" w:eastAsia="宋体" w:cs="宋体"/>
          <w:color w:val="auto"/>
          <w:sz w:val="21"/>
          <w:szCs w:val="21"/>
          <w:highlight w:val="none"/>
        </w:rPr>
        <w:t>至少提供资产负债表、利润表、现金流量表，成立不满一年无需提供</w:t>
      </w:r>
      <w:r>
        <w:rPr>
          <w:rFonts w:hint="eastAsia" w:ascii="宋体" w:hAnsi="宋体" w:eastAsia="宋体" w:cs="宋体"/>
          <w:color w:val="000000"/>
          <w:sz w:val="21"/>
          <w:szCs w:val="21"/>
          <w:highlight w:val="none"/>
        </w:rPr>
        <w:t>）；</w:t>
      </w:r>
    </w:p>
    <w:p w14:paraId="1459E6E0">
      <w:pPr>
        <w:pStyle w:val="1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1.3</w:t>
      </w:r>
      <w:r>
        <w:rPr>
          <w:rFonts w:hint="eastAsia" w:ascii="宋体" w:hAnsi="宋体" w:eastAsia="宋体" w:cs="宋体"/>
          <w:color w:val="000000"/>
          <w:sz w:val="21"/>
          <w:szCs w:val="21"/>
          <w:highlight w:val="none"/>
        </w:rPr>
        <w:t>具备履行合同所必需的设备和专业技术能力的书面声明；</w:t>
      </w:r>
    </w:p>
    <w:p w14:paraId="5312617D">
      <w:pPr>
        <w:pStyle w:val="1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905CC55">
      <w:pPr>
        <w:pStyle w:val="1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.5参加政府采购活动前3年内在经营活动中没有重大违法记录的书面声明；</w:t>
      </w:r>
    </w:p>
    <w:p w14:paraId="48E03DAE">
      <w:pPr>
        <w:pStyle w:val="1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1.6法律、行政法规规定的其他条件</w:t>
      </w:r>
      <w:r>
        <w:rPr>
          <w:rFonts w:hint="eastAsia" w:ascii="宋体" w:hAnsi="宋体" w:eastAsia="宋体" w:cs="宋体"/>
          <w:color w:val="000000"/>
          <w:sz w:val="21"/>
          <w:szCs w:val="21"/>
          <w:highlight w:val="none"/>
        </w:rPr>
        <w:t>；</w:t>
      </w:r>
    </w:p>
    <w:p w14:paraId="359C15D0">
      <w:pPr>
        <w:pStyle w:val="1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1.7</w:t>
      </w:r>
      <w:r>
        <w:rPr>
          <w:rFonts w:hint="eastAsia" w:ascii="宋体" w:hAnsi="宋体" w:eastAsia="宋体" w:cs="宋体"/>
          <w:color w:val="000000"/>
          <w:sz w:val="21"/>
          <w:szCs w:val="21"/>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7A41D00">
      <w:pPr>
        <w:pStyle w:val="1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1.8</w:t>
      </w:r>
      <w:r>
        <w:rPr>
          <w:rFonts w:hint="eastAsia" w:ascii="宋体" w:hAnsi="宋体" w:eastAsia="宋体" w:cs="宋体"/>
          <w:color w:val="000000"/>
          <w:sz w:val="21"/>
          <w:szCs w:val="21"/>
          <w:highlight w:val="none"/>
        </w:rPr>
        <w:t>单位负责人为同一人或者存在直接控股、管理关系的不同供应商，不得参加同一合同项下的政府采购活动。</w:t>
      </w:r>
    </w:p>
    <w:p w14:paraId="444123D7">
      <w:pPr>
        <w:pStyle w:val="1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落实政府采购政策需满足的资格要求：无</w:t>
      </w:r>
      <w:r>
        <w:rPr>
          <w:rFonts w:hint="eastAsia" w:ascii="宋体" w:hAnsi="宋体" w:eastAsia="宋体" w:cs="宋体"/>
          <w:color w:val="000000"/>
          <w:sz w:val="21"/>
          <w:szCs w:val="21"/>
          <w:highlight w:val="none"/>
          <w:lang w:eastAsia="zh-CN"/>
        </w:rPr>
        <w:t>。</w:t>
      </w:r>
    </w:p>
    <w:p w14:paraId="58955F2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420" w:firstLineChars="200"/>
        <w:jc w:val="both"/>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本项目的特定资格要求</w:t>
      </w:r>
      <w:r>
        <w:rPr>
          <w:rFonts w:hint="eastAsia" w:ascii="宋体" w:hAnsi="宋体" w:eastAsia="宋体" w:cs="宋体"/>
          <w:color w:val="000000"/>
          <w:sz w:val="21"/>
          <w:szCs w:val="21"/>
          <w:highlight w:val="none"/>
          <w:lang w:eastAsia="zh-CN"/>
        </w:rPr>
        <w:t>：</w:t>
      </w:r>
    </w:p>
    <w:p w14:paraId="3BA17C3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420" w:firstLineChars="200"/>
        <w:jc w:val="both"/>
        <w:textAlignment w:val="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lang w:val="en-US" w:eastAsia="zh-CN"/>
        </w:rPr>
        <w:t>3.1</w:t>
      </w:r>
      <w:r>
        <w:rPr>
          <w:rFonts w:hint="eastAsia" w:ascii="宋体" w:hAnsi="宋体" w:eastAsia="宋体" w:cs="宋体"/>
          <w:color w:val="000000"/>
          <w:sz w:val="21"/>
          <w:szCs w:val="21"/>
          <w:highlight w:val="none"/>
          <w:u w:val="none"/>
          <w:lang w:eastAsia="zh-CN"/>
        </w:rPr>
        <w:t>供应商须具有乙级及以上测绘资质，且专业类别须包含界线与不动产测绘和地理信息系统工程（提供证书彩色扫描件）。</w:t>
      </w:r>
    </w:p>
    <w:p w14:paraId="2C71611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420" w:firstLineChars="200"/>
        <w:jc w:val="both"/>
        <w:textAlignment w:val="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3.2项目负责人：须具有测绘类或土地类中级及以上职称且在投标截止之日起无在手项目。</w:t>
      </w:r>
    </w:p>
    <w:p w14:paraId="31F97D9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420" w:firstLineChars="200"/>
        <w:jc w:val="both"/>
        <w:textAlignment w:val="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val="en-US" w:eastAsia="zh-CN"/>
        </w:rPr>
        <w:t>3.3投标单位委托代理人和项目组成员均为本单位的正式职工，投标时提供社保部门出具的2026年1月（含1月）至投标截止之日连续3个月在本单位缴纳养老保险缴费记录证明。</w:t>
      </w:r>
    </w:p>
    <w:p w14:paraId="63754E56">
      <w:pPr>
        <w:pStyle w:val="15"/>
        <w:keepNext/>
        <w:keepLines/>
        <w:pageBreakBefore w:val="0"/>
        <w:kinsoku/>
        <w:wordWrap/>
        <w:overflowPunct/>
        <w:topLinePunct w:val="0"/>
        <w:autoSpaceDE/>
        <w:autoSpaceDN/>
        <w:bidi w:val="0"/>
        <w:adjustRightInd/>
        <w:snapToGrid/>
        <w:spacing w:before="145" w:beforeAutospacing="0" w:after="145" w:afterAutospacing="0" w:line="500" w:lineRule="exact"/>
        <w:ind w:firstLine="498"/>
        <w:jc w:val="both"/>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三、获取招标文件</w:t>
      </w:r>
    </w:p>
    <w:p w14:paraId="001AAF56">
      <w:pPr>
        <w:pStyle w:val="15"/>
        <w:keepNext/>
        <w:keepLines/>
        <w:pageBreakBefore w:val="0"/>
        <w:kinsoku/>
        <w:wordWrap/>
        <w:overflowPunct/>
        <w:topLinePunct w:val="0"/>
        <w:autoSpaceDE/>
        <w:autoSpaceDN/>
        <w:bidi w:val="0"/>
        <w:adjustRightInd/>
        <w:snapToGrid/>
        <w:spacing w:before="145" w:beforeAutospacing="0" w:after="145" w:afterAutospacing="0" w:line="500" w:lineRule="exact"/>
        <w:ind w:firstLine="498"/>
        <w:jc w:val="both"/>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1.时间：</w:t>
      </w:r>
      <w:r>
        <w:rPr>
          <w:rFonts w:hint="eastAsia" w:ascii="宋体" w:hAnsi="宋体" w:eastAsia="宋体" w:cs="宋体"/>
          <w:b w:val="0"/>
          <w:bCs/>
          <w:color w:val="000000"/>
          <w:sz w:val="21"/>
          <w:szCs w:val="21"/>
          <w:highlight w:val="none"/>
          <w:lang w:val="en-US" w:eastAsia="zh-CN"/>
        </w:rPr>
        <w:t>自招标公告发布之日起五个工作日</w:t>
      </w:r>
      <w:r>
        <w:rPr>
          <w:rFonts w:hint="eastAsia" w:ascii="宋体" w:hAnsi="宋体" w:eastAsia="宋体" w:cs="宋体"/>
          <w:b w:val="0"/>
          <w:bCs/>
          <w:color w:val="000000"/>
          <w:sz w:val="21"/>
          <w:szCs w:val="21"/>
          <w:highlight w:val="none"/>
        </w:rPr>
        <w:t>。</w:t>
      </w:r>
    </w:p>
    <w:p w14:paraId="35599DE3">
      <w:pPr>
        <w:pStyle w:val="15"/>
        <w:keepNext/>
        <w:keepLines/>
        <w:pageBreakBefore w:val="0"/>
        <w:kinsoku/>
        <w:wordWrap/>
        <w:overflowPunct/>
        <w:topLinePunct w:val="0"/>
        <w:autoSpaceDE/>
        <w:autoSpaceDN/>
        <w:bidi w:val="0"/>
        <w:adjustRightInd/>
        <w:snapToGrid/>
        <w:spacing w:before="145" w:beforeAutospacing="0" w:after="145" w:afterAutospacing="0" w:line="500" w:lineRule="exact"/>
        <w:ind w:firstLine="498"/>
        <w:jc w:val="both"/>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2.地点：“苏采云”系统内免费下载（投标人必须在苏采云系统中获取采购文件，方能参与政府采购项目）</w:t>
      </w:r>
    </w:p>
    <w:p w14:paraId="467FB430">
      <w:pPr>
        <w:pStyle w:val="15"/>
        <w:keepNext/>
        <w:keepLines/>
        <w:pageBreakBefore w:val="0"/>
        <w:kinsoku/>
        <w:wordWrap/>
        <w:overflowPunct/>
        <w:topLinePunct w:val="0"/>
        <w:autoSpaceDE/>
        <w:autoSpaceDN/>
        <w:bidi w:val="0"/>
        <w:adjustRightInd/>
        <w:snapToGrid/>
        <w:spacing w:before="145" w:beforeAutospacing="0" w:after="145" w:afterAutospacing="0" w:line="500" w:lineRule="exact"/>
        <w:ind w:firstLine="498"/>
        <w:jc w:val="both"/>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3.方式：本项目采用网上注册登记方式</w:t>
      </w:r>
    </w:p>
    <w:p w14:paraId="4E093A7D">
      <w:pPr>
        <w:pStyle w:val="15"/>
        <w:keepNext/>
        <w:keepLines/>
        <w:pageBreakBefore w:val="0"/>
        <w:kinsoku/>
        <w:wordWrap/>
        <w:overflowPunct/>
        <w:topLinePunct w:val="0"/>
        <w:autoSpaceDE/>
        <w:autoSpaceDN/>
        <w:bidi w:val="0"/>
        <w:adjustRightInd/>
        <w:snapToGrid/>
        <w:spacing w:before="145" w:beforeAutospacing="0" w:after="145" w:afterAutospacing="0" w:line="500" w:lineRule="exact"/>
        <w:ind w:firstLine="498"/>
        <w:jc w:val="both"/>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4.文件售价：0.00元。</w:t>
      </w:r>
    </w:p>
    <w:p w14:paraId="48944B76">
      <w:pPr>
        <w:pStyle w:val="15"/>
        <w:keepNext/>
        <w:keepLines/>
        <w:pageBreakBefore w:val="0"/>
        <w:kinsoku/>
        <w:wordWrap/>
        <w:overflowPunct/>
        <w:topLinePunct w:val="0"/>
        <w:autoSpaceDE/>
        <w:autoSpaceDN/>
        <w:bidi w:val="0"/>
        <w:adjustRightInd/>
        <w:snapToGrid/>
        <w:spacing w:before="145" w:beforeAutospacing="0" w:after="145" w:afterAutospacing="0" w:line="500" w:lineRule="exact"/>
        <w:ind w:firstLine="498"/>
        <w:jc w:val="both"/>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四、提交投标文件截止时间、开标时间和地点</w:t>
      </w:r>
    </w:p>
    <w:p w14:paraId="4C91A7DB">
      <w:pPr>
        <w:pStyle w:val="15"/>
        <w:keepNext/>
        <w:keepLines/>
        <w:pageBreakBefore w:val="0"/>
        <w:kinsoku/>
        <w:wordWrap/>
        <w:overflowPunct/>
        <w:topLinePunct w:val="0"/>
        <w:autoSpaceDE/>
        <w:autoSpaceDN/>
        <w:bidi w:val="0"/>
        <w:adjustRightInd/>
        <w:snapToGrid/>
        <w:spacing w:before="145" w:beforeAutospacing="0" w:after="145" w:afterAutospacing="0" w:line="500" w:lineRule="exact"/>
        <w:ind w:firstLine="498"/>
        <w:jc w:val="both"/>
        <w:textAlignment w:val="auto"/>
        <w:rPr>
          <w:rFonts w:hint="eastAsia" w:ascii="宋体" w:hAnsi="宋体" w:eastAsia="宋体" w:cs="宋体"/>
          <w:b w:val="0"/>
          <w:bCs/>
          <w:color w:val="000000"/>
          <w:sz w:val="21"/>
          <w:szCs w:val="21"/>
          <w:highlight w:val="none"/>
        </w:rPr>
      </w:pPr>
      <w:bookmarkStart w:id="17" w:name="_Toc35393794"/>
      <w:bookmarkStart w:id="18" w:name="_Toc35393625"/>
      <w:bookmarkStart w:id="19" w:name="_Toc28359007"/>
      <w:bookmarkStart w:id="20" w:name="_Toc28359084"/>
      <w:bookmarkStart w:id="21" w:name="_Toc38985267"/>
      <w:r>
        <w:rPr>
          <w:rFonts w:hint="eastAsia" w:ascii="宋体" w:hAnsi="宋体" w:eastAsia="宋体" w:cs="宋体"/>
          <w:b w:val="0"/>
          <w:bCs/>
          <w:color w:val="000000"/>
          <w:sz w:val="21"/>
          <w:szCs w:val="21"/>
          <w:highlight w:val="none"/>
        </w:rPr>
        <w:t>1.时间：</w:t>
      </w:r>
      <w:r>
        <w:rPr>
          <w:rFonts w:hint="eastAsia" w:ascii="宋体" w:hAnsi="宋体" w:eastAsia="宋体" w:cs="宋体"/>
          <w:b w:val="0"/>
          <w:bCs/>
          <w:color w:val="000000"/>
          <w:sz w:val="21"/>
          <w:szCs w:val="21"/>
          <w:highlight w:val="none"/>
          <w:lang w:val="en-US" w:eastAsia="zh-CN"/>
        </w:rPr>
        <w:t>2026</w:t>
      </w:r>
      <w:r>
        <w:rPr>
          <w:rFonts w:hint="eastAsia" w:ascii="宋体" w:hAnsi="宋体" w:eastAsia="宋体" w:cs="宋体"/>
          <w:b w:val="0"/>
          <w:bCs/>
          <w:color w:val="000000"/>
          <w:sz w:val="21"/>
          <w:szCs w:val="21"/>
          <w:highlight w:val="none"/>
        </w:rPr>
        <w:t>年</w:t>
      </w:r>
      <w:r>
        <w:rPr>
          <w:rFonts w:hint="eastAsia" w:ascii="宋体" w:hAnsi="宋体" w:eastAsia="宋体" w:cs="宋体"/>
          <w:b w:val="0"/>
          <w:bCs/>
          <w:color w:val="000000"/>
          <w:sz w:val="21"/>
          <w:szCs w:val="21"/>
          <w:highlight w:val="none"/>
          <w:lang w:val="en-US" w:eastAsia="zh-CN"/>
        </w:rPr>
        <w:t>7</w:t>
      </w:r>
      <w:r>
        <w:rPr>
          <w:rFonts w:hint="eastAsia" w:ascii="宋体" w:hAnsi="宋体" w:eastAsia="宋体" w:cs="宋体"/>
          <w:b w:val="0"/>
          <w:bCs/>
          <w:color w:val="000000"/>
          <w:sz w:val="21"/>
          <w:szCs w:val="21"/>
          <w:highlight w:val="none"/>
        </w:rPr>
        <w:t>月</w:t>
      </w:r>
      <w:r>
        <w:rPr>
          <w:rFonts w:hint="eastAsia" w:ascii="宋体" w:hAnsi="宋体" w:eastAsia="宋体" w:cs="宋体"/>
          <w:b w:val="0"/>
          <w:bCs/>
          <w:color w:val="000000"/>
          <w:sz w:val="21"/>
          <w:szCs w:val="21"/>
          <w:highlight w:val="none"/>
          <w:lang w:val="en-US" w:eastAsia="zh-CN"/>
        </w:rPr>
        <w:t xml:space="preserve"> 7日10时00分</w:t>
      </w:r>
      <w:r>
        <w:rPr>
          <w:rFonts w:hint="eastAsia" w:ascii="宋体" w:hAnsi="宋体" w:eastAsia="宋体" w:cs="宋体"/>
          <w:b w:val="0"/>
          <w:bCs/>
          <w:color w:val="000000"/>
          <w:sz w:val="21"/>
          <w:szCs w:val="21"/>
          <w:highlight w:val="none"/>
        </w:rPr>
        <w:t>（北京时间）；</w:t>
      </w:r>
    </w:p>
    <w:p w14:paraId="474DA80A">
      <w:pPr>
        <w:pStyle w:val="15"/>
        <w:keepNext/>
        <w:keepLines/>
        <w:pageBreakBefore w:val="0"/>
        <w:kinsoku/>
        <w:wordWrap/>
        <w:overflowPunct/>
        <w:topLinePunct w:val="0"/>
        <w:autoSpaceDE/>
        <w:autoSpaceDN/>
        <w:bidi w:val="0"/>
        <w:adjustRightInd/>
        <w:snapToGrid/>
        <w:spacing w:before="145" w:beforeAutospacing="0" w:after="145" w:afterAutospacing="0" w:line="500" w:lineRule="exact"/>
        <w:ind w:firstLine="498"/>
        <w:jc w:val="both"/>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2</w:t>
      </w:r>
      <w:r>
        <w:rPr>
          <w:rFonts w:hint="eastAsia" w:ascii="宋体" w:hAnsi="宋体" w:eastAsia="宋体" w:cs="宋体"/>
          <w:b w:val="0"/>
          <w:bCs/>
          <w:color w:val="000000"/>
          <w:sz w:val="21"/>
          <w:szCs w:val="21"/>
          <w:highlight w:val="none"/>
        </w:rPr>
        <w:t>.地点：“苏采云”系统（网址：http://jszfcg.jsczt.cn/）“开标大厅”。</w:t>
      </w:r>
    </w:p>
    <w:p w14:paraId="24E0C040">
      <w:pPr>
        <w:pStyle w:val="15"/>
        <w:keepNext/>
        <w:keepLines/>
        <w:pageBreakBefore w:val="0"/>
        <w:kinsoku/>
        <w:wordWrap/>
        <w:overflowPunct/>
        <w:topLinePunct w:val="0"/>
        <w:autoSpaceDE/>
        <w:autoSpaceDN/>
        <w:bidi w:val="0"/>
        <w:adjustRightInd/>
        <w:snapToGrid/>
        <w:spacing w:before="145" w:beforeAutospacing="0" w:after="145" w:afterAutospacing="0" w:line="500" w:lineRule="exact"/>
        <w:ind w:firstLine="498"/>
        <w:jc w:val="both"/>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五、公告期限</w:t>
      </w:r>
      <w:bookmarkEnd w:id="17"/>
      <w:bookmarkEnd w:id="18"/>
      <w:bookmarkEnd w:id="19"/>
      <w:bookmarkEnd w:id="20"/>
      <w:bookmarkEnd w:id="21"/>
    </w:p>
    <w:p w14:paraId="7C2197F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宋体" w:hAnsi="宋体" w:eastAsia="宋体" w:cs="宋体"/>
          <w:color w:val="000000"/>
          <w:kern w:val="0"/>
          <w:sz w:val="21"/>
          <w:szCs w:val="21"/>
          <w:highlight w:val="none"/>
          <w:lang w:val="en-US" w:eastAsia="zh-CN" w:bidi="ar-SA"/>
        </w:rPr>
      </w:pPr>
      <w:bookmarkStart w:id="22" w:name="_Toc38985268"/>
      <w:bookmarkStart w:id="23" w:name="_Toc35393795"/>
      <w:bookmarkStart w:id="24" w:name="_Toc35393626"/>
      <w:r>
        <w:rPr>
          <w:rFonts w:hint="eastAsia" w:ascii="宋体" w:hAnsi="宋体" w:eastAsia="宋体" w:cs="宋体"/>
          <w:color w:val="000000"/>
          <w:kern w:val="0"/>
          <w:sz w:val="21"/>
          <w:szCs w:val="21"/>
          <w:highlight w:val="none"/>
          <w:lang w:val="en-US" w:eastAsia="zh-CN" w:bidi="ar-SA"/>
        </w:rPr>
        <w:t>自本公告发布之日起5个工作日。</w:t>
      </w:r>
      <w:bookmarkEnd w:id="22"/>
      <w:bookmarkEnd w:id="23"/>
      <w:bookmarkEnd w:id="24"/>
    </w:p>
    <w:p w14:paraId="65FB6A53">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rightChars="0" w:firstLine="560" w:firstLineChars="0"/>
        <w:jc w:val="both"/>
        <w:textAlignment w:val="auto"/>
        <w:rPr>
          <w:rFonts w:hint="eastAsia" w:ascii="宋体" w:hAnsi="宋体" w:eastAsia="宋体" w:cs="宋体"/>
          <w:i w:val="0"/>
          <w:iCs w:val="0"/>
          <w:caps w:val="0"/>
          <w:color w:val="333333"/>
          <w:spacing w:val="0"/>
          <w:sz w:val="21"/>
          <w:szCs w:val="21"/>
          <w:highlight w:val="none"/>
          <w:shd w:val="clear" w:fill="FFFFFF"/>
          <w:lang w:val="en-US" w:eastAsia="zh-CN"/>
        </w:rPr>
      </w:pPr>
      <w:r>
        <w:rPr>
          <w:rFonts w:hint="eastAsia" w:ascii="宋体" w:hAnsi="宋体" w:eastAsia="宋体" w:cs="宋体"/>
          <w:b/>
          <w:color w:val="000000"/>
          <w:sz w:val="21"/>
          <w:szCs w:val="21"/>
          <w:highlight w:val="none"/>
          <w:lang w:val="en-US" w:eastAsia="zh-CN"/>
        </w:rPr>
        <w:t>六、评标办法：综合评分法</w:t>
      </w:r>
    </w:p>
    <w:p w14:paraId="637476BB">
      <w:pPr>
        <w:pStyle w:val="15"/>
        <w:keepNext/>
        <w:keepLines/>
        <w:pageBreakBefore w:val="0"/>
        <w:numPr>
          <w:ilvl w:val="0"/>
          <w:numId w:val="0"/>
        </w:numPr>
        <w:kinsoku/>
        <w:wordWrap/>
        <w:overflowPunct/>
        <w:topLinePunct w:val="0"/>
        <w:autoSpaceDE/>
        <w:autoSpaceDN/>
        <w:bidi w:val="0"/>
        <w:adjustRightInd/>
        <w:snapToGrid/>
        <w:spacing w:before="145" w:beforeAutospacing="0" w:after="145" w:afterAutospacing="0" w:line="500" w:lineRule="exact"/>
        <w:ind w:firstLine="498" w:firstLineChars="0"/>
        <w:jc w:val="both"/>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kern w:val="0"/>
          <w:sz w:val="21"/>
          <w:szCs w:val="21"/>
          <w:lang w:val="en-US" w:eastAsia="zh-CN" w:bidi="ar-SA"/>
        </w:rPr>
        <w:t>七、</w:t>
      </w:r>
      <w:r>
        <w:rPr>
          <w:rFonts w:hint="eastAsia" w:ascii="宋体" w:hAnsi="宋体" w:eastAsia="宋体" w:cs="宋体"/>
          <w:b/>
          <w:color w:val="000000"/>
          <w:sz w:val="21"/>
          <w:szCs w:val="21"/>
          <w:highlight w:val="none"/>
        </w:rPr>
        <w:t>其他补充事宜</w:t>
      </w:r>
    </w:p>
    <w:p w14:paraId="462F9725">
      <w:pPr>
        <w:widowControl/>
        <w:spacing w:line="348" w:lineRule="auto"/>
        <w:ind w:firstLine="480"/>
        <w:jc w:val="left"/>
        <w:rPr>
          <w:rFonts w:hint="eastAsia" w:ascii="宋体" w:hAnsi="宋体" w:eastAsia="宋体" w:cs="宋体"/>
          <w:color w:val="auto"/>
          <w:sz w:val="21"/>
          <w:szCs w:val="21"/>
          <w:highlight w:val="none"/>
        </w:rPr>
      </w:pPr>
      <w:bookmarkStart w:id="25" w:name="_Toc28359018"/>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.投标人不得提供虚假材料谋取中标成交的或采取不正当手段诋毁、排挤其他供应商。</w:t>
      </w:r>
    </w:p>
    <w:p w14:paraId="579793C6">
      <w:pPr>
        <w:widowControl/>
        <w:spacing w:line="348"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.投标人存在串通投标、以他人名义投标、弄虚作假等违法违规行为，或者无正当理由放弃投标、中标资格，造成项目招标失败的，不得参加该项目重新招标的投标。</w:t>
      </w:r>
    </w:p>
    <w:p w14:paraId="6105CD41">
      <w:pPr>
        <w:widowControl/>
        <w:spacing w:line="348"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5777F227">
      <w:pPr>
        <w:widowControl/>
        <w:spacing w:line="348"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领取CA和办理电子签章（盐城市盐都区府西路1号盐城市政务服务中心4楼盐城市公共资源交易中心10号、11号窗口，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《苏采云系统供应商操作手册》：在盐城市政府采购网点击【办事指南】-【供应商参与政府采购活动相关资料】。</w:t>
      </w:r>
    </w:p>
    <w:p w14:paraId="3B1B2BA5">
      <w:pPr>
        <w:widowControl/>
        <w:spacing w:line="348"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.潜在供应商访问电子招标响应交易平台的网络地址和方法： </w:t>
      </w:r>
    </w:p>
    <w:p w14:paraId="564FD5DD">
      <w:pPr>
        <w:widowControl/>
        <w:spacing w:line="348"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71649321">
      <w:pPr>
        <w:widowControl/>
        <w:spacing w:line="348"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.2 潜在投标人访问“苏采云”系统方法：江苏省政府采购网首页-“苏采云”链接。 </w:t>
      </w:r>
    </w:p>
    <w:p w14:paraId="296C00E4">
      <w:pPr>
        <w:widowControl/>
        <w:spacing w:line="348"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.3 采购文件（后缀名为“.kedt”）、供应商操作手册及政府采购客户端工具可通过“苏采云”系统相应链接进行下载。 </w:t>
      </w:r>
    </w:p>
    <w:p w14:paraId="5BA40404">
      <w:pPr>
        <w:widowControl/>
        <w:spacing w:line="348"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.4 采购代理机构将数据电文形式的采购文件加载至“苏采云”系统，供潜在供应商下载或者查阅。 </w:t>
      </w:r>
    </w:p>
    <w:p w14:paraId="1A37A23F">
      <w:pPr>
        <w:widowControl/>
        <w:spacing w:line="348"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.5 请潜在投标单位提前安装相应的控件（详见《“苏采云”系统供应商操作手册》）并使用谷歌浏览器登录“苏采云”系统参与不见面开评标。 </w:t>
      </w:r>
    </w:p>
    <w:p w14:paraId="3E2835A4">
      <w:pPr>
        <w:widowControl/>
        <w:spacing w:line="348"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如潜在投标人未按上述要求操作，将自行承担所产生的风险。</w:t>
      </w:r>
    </w:p>
    <w:p w14:paraId="6D9C881D">
      <w:pPr>
        <w:widowControl/>
        <w:spacing w:line="348"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.有关本次招标的事项若存在变动或修改，敬请及时关注盐城市政府采购中心在“中国政府采购网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江苏政府采购网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盐城市政府采购网”发布的更正公告。</w:t>
      </w:r>
    </w:p>
    <w:p w14:paraId="3FB66422">
      <w:pPr>
        <w:widowControl/>
        <w:spacing w:line="348"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.本次招标不收取投标保证金。</w:t>
      </w:r>
    </w:p>
    <w:p w14:paraId="5BFADC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422" w:firstLineChars="200"/>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八、对本次招标提出询问，请按以下方式联系。</w:t>
      </w:r>
      <w:bookmarkEnd w:id="25"/>
    </w:p>
    <w:p w14:paraId="0D2BFE3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1"/>
        <w:jc w:val="both"/>
        <w:textAlignment w:val="auto"/>
        <w:rPr>
          <w:rFonts w:hint="eastAsia" w:ascii="宋体" w:hAnsi="宋体" w:eastAsia="宋体" w:cs="宋体"/>
          <w:color w:val="000000"/>
          <w:kern w:val="0"/>
          <w:sz w:val="21"/>
          <w:szCs w:val="21"/>
          <w:highlight w:val="none"/>
          <w:lang w:val="en-US" w:eastAsia="zh-CN" w:bidi="ar-SA"/>
        </w:rPr>
      </w:pPr>
      <w:bookmarkStart w:id="26" w:name="_Toc28359009"/>
      <w:r>
        <w:rPr>
          <w:rFonts w:hint="eastAsia" w:ascii="宋体" w:hAnsi="宋体" w:eastAsia="宋体" w:cs="宋体"/>
          <w:color w:val="000000"/>
          <w:kern w:val="0"/>
          <w:sz w:val="21"/>
          <w:szCs w:val="21"/>
          <w:highlight w:val="none"/>
          <w:lang w:val="en-US" w:eastAsia="zh-CN" w:bidi="ar-SA"/>
        </w:rPr>
        <w:t>1.采购人信息</w:t>
      </w:r>
    </w:p>
    <w:p w14:paraId="4EC9ACA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1"/>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 xml:space="preserve">名 称：盐城市大丰区万盈镇人民政府  </w:t>
      </w:r>
    </w:p>
    <w:p w14:paraId="6AEEDB2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1"/>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 xml:space="preserve">地址：盐城市大丰区万盈镇大奇路 1 号 </w:t>
      </w:r>
    </w:p>
    <w:p w14:paraId="3FDCA07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1"/>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 xml:space="preserve">联系人：丁锋            </w:t>
      </w:r>
    </w:p>
    <w:p w14:paraId="060E616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1"/>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联系方式：0515-69860199</w:t>
      </w:r>
      <w:bookmarkStart w:id="176" w:name="_GoBack"/>
      <w:bookmarkEnd w:id="176"/>
      <w:r>
        <w:rPr>
          <w:rFonts w:hint="eastAsia" w:ascii="宋体" w:hAnsi="宋体" w:eastAsia="宋体" w:cs="宋体"/>
          <w:color w:val="000000"/>
          <w:kern w:val="0"/>
          <w:sz w:val="21"/>
          <w:szCs w:val="21"/>
          <w:highlight w:val="none"/>
          <w:lang w:val="en-US" w:eastAsia="zh-CN" w:bidi="ar-SA"/>
        </w:rPr>
        <w:t xml:space="preserve">          </w:t>
      </w:r>
    </w:p>
    <w:p w14:paraId="0213576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1"/>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2.采购代理机构信息</w:t>
      </w:r>
    </w:p>
    <w:p w14:paraId="4B6CC1F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1"/>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名 称：盐城中团锐创项目管理有限公司</w:t>
      </w:r>
    </w:p>
    <w:p w14:paraId="7B87FB2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1"/>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地 址： 盐城市大丰区大中街道通港大道85号丰尚国际1号楼15层</w:t>
      </w:r>
    </w:p>
    <w:p w14:paraId="41F16E1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1"/>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 xml:space="preserve">联系人：吴小吉                     </w:t>
      </w:r>
    </w:p>
    <w:p w14:paraId="0A6F467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1"/>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联系方式：</w:t>
      </w:r>
      <w:bookmarkStart w:id="27" w:name="_Toc28359087"/>
      <w:bookmarkStart w:id="28" w:name="_Toc28359010"/>
      <w:r>
        <w:rPr>
          <w:rFonts w:hint="eastAsia" w:ascii="宋体" w:hAnsi="宋体" w:eastAsia="宋体" w:cs="宋体"/>
          <w:color w:val="000000"/>
          <w:kern w:val="0"/>
          <w:sz w:val="21"/>
          <w:szCs w:val="21"/>
          <w:highlight w:val="none"/>
          <w:lang w:val="en-US" w:eastAsia="zh-CN" w:bidi="ar-SA"/>
        </w:rPr>
        <w:t>0515-83333668       </w:t>
      </w:r>
      <w:bookmarkEnd w:id="27"/>
      <w:bookmarkEnd w:id="28"/>
      <w:r>
        <w:rPr>
          <w:rFonts w:hint="eastAsia" w:ascii="宋体" w:hAnsi="宋体" w:eastAsia="宋体" w:cs="宋体"/>
          <w:color w:val="000000"/>
          <w:kern w:val="0"/>
          <w:sz w:val="21"/>
          <w:szCs w:val="21"/>
          <w:highlight w:val="none"/>
          <w:lang w:val="en-US" w:eastAsia="zh-CN" w:bidi="ar-SA"/>
        </w:rPr>
        <w:t xml:space="preserve">            </w:t>
      </w:r>
    </w:p>
    <w:p w14:paraId="33DFE75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1"/>
        <w:jc w:val="both"/>
        <w:textAlignment w:val="auto"/>
        <w:rPr>
          <w:rFonts w:hint="eastAsia" w:ascii="宋体" w:hAnsi="宋体" w:eastAsia="宋体" w:cs="宋体"/>
          <w:color w:val="000000"/>
          <w:kern w:val="0"/>
          <w:sz w:val="21"/>
          <w:szCs w:val="21"/>
          <w:highlight w:val="none"/>
          <w:lang w:val="en-US" w:eastAsia="zh-CN" w:bidi="ar-SA"/>
        </w:rPr>
      </w:pPr>
      <w:bookmarkStart w:id="29" w:name="_Toc28359021"/>
      <w:r>
        <w:rPr>
          <w:rFonts w:hint="eastAsia" w:ascii="宋体" w:hAnsi="宋体" w:eastAsia="宋体" w:cs="宋体"/>
          <w:color w:val="000000"/>
          <w:kern w:val="0"/>
          <w:sz w:val="21"/>
          <w:szCs w:val="21"/>
          <w:highlight w:val="none"/>
          <w:lang w:val="en-US" w:eastAsia="zh-CN" w:bidi="ar-SA"/>
        </w:rPr>
        <w:t>3.</w:t>
      </w:r>
      <w:bookmarkEnd w:id="29"/>
      <w:r>
        <w:rPr>
          <w:rFonts w:hint="eastAsia" w:ascii="宋体" w:hAnsi="宋体" w:eastAsia="宋体" w:cs="宋体"/>
          <w:color w:val="000000"/>
          <w:kern w:val="0"/>
          <w:sz w:val="21"/>
          <w:szCs w:val="21"/>
          <w:highlight w:val="none"/>
          <w:lang w:val="en-US" w:eastAsia="zh-CN" w:bidi="ar-SA"/>
        </w:rPr>
        <w:t>项目联系方式</w:t>
      </w:r>
    </w:p>
    <w:p w14:paraId="7956A9F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1"/>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项目联系人：吴小吉</w:t>
      </w:r>
    </w:p>
    <w:p w14:paraId="5AA0D51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1"/>
        <w:jc w:val="both"/>
        <w:textAlignment w:val="auto"/>
        <w:rPr>
          <w:rFonts w:hint="eastAsia" w:ascii="宋体" w:hAnsi="宋体" w:eastAsia="宋体" w:cs="宋体"/>
          <w:i w:val="0"/>
          <w:iCs w:val="0"/>
          <w:caps w:val="0"/>
          <w:color w:val="333333"/>
          <w:spacing w:val="0"/>
          <w:sz w:val="21"/>
          <w:szCs w:val="21"/>
          <w:highlight w:val="none"/>
          <w:shd w:val="clear" w:fill="FFFFFF"/>
          <w:lang w:val="en-US" w:eastAsia="zh-CN"/>
        </w:rPr>
      </w:pPr>
      <w:r>
        <w:rPr>
          <w:rFonts w:hint="eastAsia" w:ascii="宋体" w:hAnsi="宋体" w:eastAsia="宋体" w:cs="宋体"/>
          <w:color w:val="000000"/>
          <w:kern w:val="0"/>
          <w:sz w:val="21"/>
          <w:szCs w:val="21"/>
          <w:highlight w:val="none"/>
          <w:lang w:val="en-US" w:eastAsia="zh-CN" w:bidi="ar-SA"/>
        </w:rPr>
        <w:t>电　　 话：0515-83333668　　　　　　　</w:t>
      </w:r>
      <w:r>
        <w:rPr>
          <w:rFonts w:hint="eastAsia" w:ascii="宋体" w:hAnsi="宋体" w:eastAsia="宋体" w:cs="宋体"/>
          <w:i w:val="0"/>
          <w:iCs w:val="0"/>
          <w:caps w:val="0"/>
          <w:color w:val="333333"/>
          <w:spacing w:val="0"/>
          <w:sz w:val="21"/>
          <w:szCs w:val="21"/>
          <w:highlight w:val="none"/>
          <w:shd w:val="clear" w:fill="FFFFFF"/>
          <w:lang w:val="en-US" w:eastAsia="zh-CN"/>
        </w:rPr>
        <w:t>　　　　　</w:t>
      </w:r>
    </w:p>
    <w:p w14:paraId="0D80FD0B">
      <w:pPr>
        <w:pStyle w:val="15"/>
        <w:spacing w:beforeAutospacing="0" w:afterAutospacing="0"/>
        <w:ind w:right="840"/>
        <w:jc w:val="both"/>
        <w:rPr>
          <w:rFonts w:hint="eastAsia" w:ascii="宋体" w:hAnsi="宋体" w:eastAsia="宋体" w:cs="宋体"/>
          <w:highlight w:val="none"/>
        </w:rPr>
      </w:pPr>
      <w:r>
        <w:rPr>
          <w:rFonts w:hint="eastAsia" w:ascii="宋体" w:hAnsi="宋体" w:eastAsia="宋体" w:cs="宋体"/>
          <w:color w:val="000000"/>
          <w:sz w:val="21"/>
          <w:szCs w:val="21"/>
          <w:highlight w:val="none"/>
        </w:rPr>
        <w:br w:type="page"/>
      </w:r>
      <w:r>
        <w:rPr>
          <w:rFonts w:hint="eastAsia" w:ascii="宋体" w:hAnsi="宋体" w:eastAsia="宋体" w:cs="宋体"/>
          <w:color w:val="000000"/>
          <w:highlight w:val="none"/>
        </w:rPr>
        <w:t> </w:t>
      </w:r>
    </w:p>
    <w:p w14:paraId="01CD31E3">
      <w:pPr>
        <w:pStyle w:val="15"/>
        <w:keepNext/>
        <w:keepLines/>
        <w:spacing w:before="260" w:beforeAutospacing="0" w:after="260" w:afterAutospacing="0" w:line="415" w:lineRule="auto"/>
        <w:ind w:firstLine="2429"/>
        <w:jc w:val="both"/>
        <w:rPr>
          <w:rFonts w:hint="eastAsia" w:ascii="宋体" w:hAnsi="宋体" w:eastAsia="宋体" w:cs="宋体"/>
          <w:sz w:val="36"/>
          <w:szCs w:val="36"/>
          <w:highlight w:val="none"/>
        </w:rPr>
      </w:pPr>
      <w:bookmarkStart w:id="30" w:name="_Toc120614211"/>
      <w:r>
        <w:rPr>
          <w:rFonts w:hint="eastAsia" w:ascii="宋体" w:hAnsi="宋体" w:eastAsia="宋体" w:cs="宋体"/>
          <w:b/>
          <w:color w:val="000000"/>
          <w:sz w:val="36"/>
          <w:szCs w:val="36"/>
          <w:highlight w:val="none"/>
        </w:rPr>
        <w:t xml:space="preserve">第二章  </w:t>
      </w:r>
      <w:bookmarkEnd w:id="30"/>
      <w:bookmarkStart w:id="31" w:name="_Toc16938518"/>
      <w:bookmarkStart w:id="32" w:name="_Toc20823274"/>
      <w:bookmarkStart w:id="33" w:name="_Toc120614213"/>
      <w:bookmarkStart w:id="34" w:name="_Toc513029202"/>
      <w:r>
        <w:rPr>
          <w:rFonts w:hint="eastAsia" w:ascii="宋体" w:hAnsi="宋体" w:eastAsia="宋体" w:cs="宋体"/>
          <w:b/>
          <w:color w:val="000000"/>
          <w:sz w:val="36"/>
          <w:szCs w:val="36"/>
          <w:highlight w:val="none"/>
        </w:rPr>
        <w:t>投标人须知</w:t>
      </w:r>
      <w:bookmarkEnd w:id="31"/>
      <w:bookmarkEnd w:id="32"/>
      <w:bookmarkEnd w:id="33"/>
      <w:bookmarkEnd w:id="34"/>
    </w:p>
    <w:p w14:paraId="2D4D4940">
      <w:pPr>
        <w:pStyle w:val="15"/>
        <w:keepNext/>
        <w:keepLines/>
        <w:pageBreakBefore w:val="0"/>
        <w:widowControl w:val="0"/>
        <w:kinsoku/>
        <w:wordWrap/>
        <w:overflowPunct/>
        <w:topLinePunct w:val="0"/>
        <w:autoSpaceDE/>
        <w:autoSpaceDN/>
        <w:bidi w:val="0"/>
        <w:adjustRightInd/>
        <w:snapToGrid/>
        <w:spacing w:before="145" w:beforeAutospacing="0" w:after="145" w:afterAutospacing="0" w:line="500" w:lineRule="exact"/>
        <w:ind w:firstLine="498"/>
        <w:jc w:val="both"/>
        <w:textAlignment w:val="auto"/>
        <w:rPr>
          <w:rFonts w:hint="eastAsia" w:ascii="宋体" w:hAnsi="宋体" w:eastAsia="宋体" w:cs="宋体"/>
          <w:sz w:val="21"/>
          <w:szCs w:val="21"/>
          <w:highlight w:val="none"/>
        </w:rPr>
      </w:pPr>
      <w:bookmarkStart w:id="35" w:name="_Toc16938519"/>
      <w:bookmarkStart w:id="36" w:name="_Toc20823275"/>
      <w:bookmarkStart w:id="37" w:name="_Toc513029203"/>
      <w:bookmarkStart w:id="38" w:name="_Toc120614214"/>
      <w:r>
        <w:rPr>
          <w:rFonts w:hint="eastAsia" w:ascii="宋体" w:hAnsi="宋体" w:eastAsia="宋体" w:cs="宋体"/>
          <w:b/>
          <w:color w:val="000000"/>
          <w:sz w:val="21"/>
          <w:szCs w:val="21"/>
          <w:highlight w:val="none"/>
        </w:rPr>
        <w:t>一、总则</w:t>
      </w:r>
      <w:bookmarkEnd w:id="35"/>
      <w:bookmarkEnd w:id="36"/>
      <w:bookmarkEnd w:id="37"/>
      <w:bookmarkEnd w:id="38"/>
    </w:p>
    <w:p w14:paraId="48E05819">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bookmarkStart w:id="39" w:name="_Toc16938520"/>
      <w:bookmarkStart w:id="40" w:name="_Toc458694821"/>
      <w:bookmarkStart w:id="41" w:name="_Toc20823276"/>
      <w:bookmarkStart w:id="42" w:name="_Toc513029204"/>
      <w:bookmarkStart w:id="43" w:name="_Hlt16619475"/>
      <w:r>
        <w:rPr>
          <w:rFonts w:hint="eastAsia" w:ascii="宋体" w:hAnsi="宋体" w:eastAsia="宋体" w:cs="宋体"/>
          <w:color w:val="000000"/>
          <w:sz w:val="21"/>
          <w:szCs w:val="21"/>
          <w:highlight w:val="none"/>
        </w:rPr>
        <w:t>1</w:t>
      </w:r>
      <w:bookmarkEnd w:id="39"/>
      <w:r>
        <w:rPr>
          <w:rFonts w:hint="eastAsia" w:ascii="宋体" w:hAnsi="宋体" w:eastAsia="宋体" w:cs="宋体"/>
          <w:color w:val="000000"/>
          <w:sz w:val="21"/>
          <w:szCs w:val="21"/>
          <w:highlight w:val="none"/>
        </w:rPr>
        <w:t>、招标方式</w:t>
      </w:r>
      <w:bookmarkEnd w:id="40"/>
      <w:bookmarkEnd w:id="41"/>
      <w:bookmarkEnd w:id="42"/>
    </w:p>
    <w:p w14:paraId="496D2DA3">
      <w:pPr>
        <w:pStyle w:val="15"/>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1.1本次招标采取公开招标方式，本招标文件仅适用于招标公告中所述项目。</w:t>
      </w:r>
    </w:p>
    <w:p w14:paraId="7EFF3468">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color w:val="000000"/>
          <w:sz w:val="21"/>
          <w:szCs w:val="21"/>
          <w:highlight w:val="none"/>
        </w:rPr>
      </w:pPr>
      <w:bookmarkStart w:id="44" w:name="_Toc20823277"/>
      <w:bookmarkStart w:id="45" w:name="_Toc16938521"/>
      <w:bookmarkStart w:id="46" w:name="_Toc513029205"/>
      <w:r>
        <w:rPr>
          <w:rFonts w:hint="eastAsia" w:ascii="宋体" w:hAnsi="宋体" w:eastAsia="宋体" w:cs="宋体"/>
          <w:color w:val="000000"/>
          <w:sz w:val="21"/>
          <w:szCs w:val="21"/>
          <w:highlight w:val="none"/>
        </w:rPr>
        <w:t>2、合格的投标人</w:t>
      </w:r>
      <w:bookmarkEnd w:id="44"/>
      <w:bookmarkEnd w:id="45"/>
      <w:bookmarkEnd w:id="46"/>
    </w:p>
    <w:p w14:paraId="575CB15D">
      <w:pPr>
        <w:pStyle w:val="15"/>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2.1满足招标公告中供应商的资格要求的规定。</w:t>
      </w:r>
    </w:p>
    <w:p w14:paraId="053B99F5">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2.2满足本文件实质性要求和条件的规定。</w:t>
      </w:r>
    </w:p>
    <w:p w14:paraId="6570DAF5">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bookmarkStart w:id="47" w:name="_Toc20823278"/>
      <w:bookmarkStart w:id="48" w:name="_Toc513029206"/>
      <w:bookmarkStart w:id="49" w:name="_Toc16938522"/>
      <w:r>
        <w:rPr>
          <w:rFonts w:hint="eastAsia" w:ascii="宋体" w:hAnsi="宋体" w:eastAsia="宋体" w:cs="宋体"/>
          <w:color w:val="000000"/>
          <w:sz w:val="21"/>
          <w:szCs w:val="21"/>
          <w:highlight w:val="none"/>
        </w:rPr>
        <w:t>3、适用法律</w:t>
      </w:r>
      <w:bookmarkEnd w:id="47"/>
      <w:bookmarkEnd w:id="48"/>
      <w:bookmarkEnd w:id="49"/>
    </w:p>
    <w:p w14:paraId="0791EDEA">
      <w:pPr>
        <w:pStyle w:val="15"/>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3.1本次招标及由此产生的合同受中华人民共和国有关的法律法规制约和保护。</w:t>
      </w:r>
    </w:p>
    <w:p w14:paraId="36533D3B">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bookmarkStart w:id="50" w:name="_Toc16938523"/>
      <w:bookmarkStart w:id="51" w:name="_Toc20823279"/>
      <w:bookmarkStart w:id="52" w:name="_Toc462564067"/>
      <w:bookmarkStart w:id="53" w:name="_Toc513029207"/>
      <w:r>
        <w:rPr>
          <w:rFonts w:hint="eastAsia" w:ascii="宋体" w:hAnsi="宋体" w:eastAsia="宋体" w:cs="宋体"/>
          <w:color w:val="000000"/>
          <w:sz w:val="21"/>
          <w:szCs w:val="21"/>
          <w:highlight w:val="none"/>
        </w:rPr>
        <w:t>4、投标费用</w:t>
      </w:r>
      <w:bookmarkEnd w:id="50"/>
      <w:bookmarkEnd w:id="51"/>
      <w:bookmarkEnd w:id="52"/>
      <w:bookmarkEnd w:id="53"/>
    </w:p>
    <w:p w14:paraId="23EE288E">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4.1投标人应自行承担所有与参加投标有关的费用，无论投标过程中的做法和结果如何，</w:t>
      </w:r>
      <w:r>
        <w:rPr>
          <w:rFonts w:hint="eastAsia" w:ascii="宋体" w:hAnsi="宋体" w:eastAsia="宋体" w:cs="宋体"/>
          <w:color w:val="000000"/>
          <w:sz w:val="21"/>
          <w:szCs w:val="21"/>
          <w:highlight w:val="none"/>
          <w:lang w:eastAsia="zh-CN"/>
        </w:rPr>
        <w:t>采购人与采购代理公司（以下简称代理公司）</w:t>
      </w:r>
      <w:r>
        <w:rPr>
          <w:rFonts w:hint="eastAsia" w:ascii="宋体" w:hAnsi="宋体" w:eastAsia="宋体" w:cs="宋体"/>
          <w:color w:val="000000"/>
          <w:sz w:val="21"/>
          <w:szCs w:val="21"/>
          <w:highlight w:val="none"/>
        </w:rPr>
        <w:t>在任何情况下均无义务和责任承担这些费用。</w:t>
      </w:r>
    </w:p>
    <w:p w14:paraId="3645DA01">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4.2</w:t>
      </w:r>
      <w:r>
        <w:rPr>
          <w:rFonts w:hint="eastAsia" w:ascii="宋体" w:hAnsi="宋体" w:eastAsia="宋体" w:cs="宋体"/>
          <w:color w:val="auto"/>
          <w:sz w:val="21"/>
          <w:szCs w:val="21"/>
          <w:highlight w:val="none"/>
        </w:rPr>
        <w:t>投标人应自行承担所有与参加投标有关</w:t>
      </w:r>
      <w:r>
        <w:rPr>
          <w:rFonts w:hint="eastAsia" w:ascii="宋体" w:hAnsi="宋体" w:eastAsia="宋体" w:cs="宋体"/>
          <w:color w:val="auto"/>
          <w:sz w:val="21"/>
          <w:szCs w:val="21"/>
          <w:highlight w:val="none"/>
          <w:lang w:eastAsia="zh-CN"/>
        </w:rPr>
        <w:t>（</w:t>
      </w:r>
      <w:r>
        <w:rPr>
          <w:rFonts w:hint="eastAsia" w:ascii="宋体" w:hAnsi="宋体" w:eastAsia="宋体" w:cs="宋体"/>
          <w:b/>
          <w:color w:val="auto"/>
          <w:sz w:val="21"/>
          <w:szCs w:val="21"/>
          <w:highlight w:val="none"/>
        </w:rPr>
        <w:t>招标代理服务费：本项目招标代理费按苏招协【2022】002号文件标准向中标单位收取，此项费用含在投标报价中，不单独列项，由投标单位在报价时综合考虑</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的费用，报价应包含以下内容：投标报价应包括投标人中标后为完成本项目服务可能发生的全部费用及利润和税金等（包括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本项目招标代理费、服务期内政策调整风险费等本项目招标文件规定的全部费用投标人中标后投标报价不再调整。无论投标过程中的做法和结果如何，</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在任何情况下均无义务和责任承担这些费用。</w:t>
      </w:r>
    </w:p>
    <w:p w14:paraId="1F5DE1A1">
      <w:pPr>
        <w:pStyle w:val="15"/>
        <w:pageBreakBefore w:val="0"/>
        <w:widowControl w:val="0"/>
        <w:numPr>
          <w:ilvl w:val="0"/>
          <w:numId w:val="1"/>
        </w:numPr>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招标文件的约束力</w:t>
      </w:r>
    </w:p>
    <w:p w14:paraId="34C8BA98">
      <w:pPr>
        <w:pStyle w:val="15"/>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5.1投标人一旦参加本项目采购活动，即被认为接受了本招标文件的规定和约束。</w:t>
      </w:r>
    </w:p>
    <w:p w14:paraId="43832C20">
      <w:pPr>
        <w:pStyle w:val="15"/>
        <w:keepNext/>
        <w:keepLines/>
        <w:pageBreakBefore w:val="0"/>
        <w:widowControl w:val="0"/>
        <w:kinsoku/>
        <w:wordWrap/>
        <w:overflowPunct/>
        <w:topLinePunct w:val="0"/>
        <w:autoSpaceDE/>
        <w:autoSpaceDN/>
        <w:bidi w:val="0"/>
        <w:adjustRightInd/>
        <w:snapToGrid/>
        <w:spacing w:before="145" w:beforeAutospacing="0" w:after="145" w:afterAutospacing="0" w:line="500" w:lineRule="exact"/>
        <w:ind w:firstLine="321"/>
        <w:jc w:val="both"/>
        <w:textAlignment w:val="auto"/>
        <w:rPr>
          <w:rFonts w:hint="eastAsia" w:ascii="宋体" w:hAnsi="宋体" w:eastAsia="宋体" w:cs="宋体"/>
          <w:sz w:val="21"/>
          <w:szCs w:val="21"/>
          <w:highlight w:val="none"/>
        </w:rPr>
      </w:pPr>
      <w:bookmarkStart w:id="54" w:name="_Toc20823281"/>
      <w:bookmarkStart w:id="55" w:name="_Toc16938525"/>
      <w:bookmarkStart w:id="56" w:name="_Toc513029209"/>
      <w:bookmarkStart w:id="57" w:name="_Toc120614215"/>
      <w:r>
        <w:rPr>
          <w:rFonts w:hint="eastAsia" w:ascii="宋体" w:hAnsi="宋体" w:eastAsia="宋体" w:cs="宋体"/>
          <w:b/>
          <w:color w:val="000000"/>
          <w:sz w:val="21"/>
          <w:szCs w:val="21"/>
          <w:highlight w:val="none"/>
        </w:rPr>
        <w:t>二、招标文件</w:t>
      </w:r>
      <w:bookmarkEnd w:id="54"/>
      <w:bookmarkEnd w:id="55"/>
      <w:bookmarkEnd w:id="56"/>
      <w:bookmarkEnd w:id="57"/>
    </w:p>
    <w:p w14:paraId="68ED197E">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bookmarkStart w:id="58" w:name="_Toc20823282"/>
      <w:bookmarkStart w:id="59" w:name="_Toc513029210"/>
      <w:bookmarkStart w:id="60" w:name="_Toc16938526"/>
      <w:r>
        <w:rPr>
          <w:rFonts w:hint="eastAsia" w:ascii="宋体" w:hAnsi="宋体" w:eastAsia="宋体" w:cs="宋体"/>
          <w:color w:val="000000"/>
          <w:sz w:val="21"/>
          <w:szCs w:val="21"/>
          <w:highlight w:val="none"/>
        </w:rPr>
        <w:t>6、招标文件构成</w:t>
      </w:r>
      <w:bookmarkEnd w:id="58"/>
      <w:bookmarkEnd w:id="59"/>
      <w:bookmarkEnd w:id="60"/>
    </w:p>
    <w:p w14:paraId="3A8430B3">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6.1 招标文件由以下部分组成：</w:t>
      </w:r>
    </w:p>
    <w:p w14:paraId="7CAD8D0E">
      <w:pPr>
        <w:pStyle w:val="15"/>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招标公告</w:t>
      </w:r>
    </w:p>
    <w:p w14:paraId="65867A57">
      <w:pPr>
        <w:pStyle w:val="15"/>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（2）投标人须知</w:t>
      </w:r>
    </w:p>
    <w:p w14:paraId="57943076">
      <w:pPr>
        <w:pStyle w:val="15"/>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（3）合同文本</w:t>
      </w:r>
    </w:p>
    <w:p w14:paraId="2179FCE5">
      <w:pPr>
        <w:pStyle w:val="15"/>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rPr>
        <w:t>（4）</w:t>
      </w:r>
      <w:r>
        <w:rPr>
          <w:rFonts w:hint="eastAsia" w:ascii="宋体" w:hAnsi="宋体" w:eastAsia="宋体" w:cs="宋体"/>
          <w:color w:val="000000"/>
          <w:sz w:val="21"/>
          <w:szCs w:val="21"/>
          <w:highlight w:val="none"/>
          <w:lang w:eastAsia="zh-CN"/>
        </w:rPr>
        <w:t>招标服务需求</w:t>
      </w:r>
    </w:p>
    <w:p w14:paraId="552F5101">
      <w:pPr>
        <w:pStyle w:val="15"/>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（5）评标方法与评标标准</w:t>
      </w:r>
    </w:p>
    <w:p w14:paraId="35C39FDB">
      <w:pPr>
        <w:pStyle w:val="15"/>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（6）投标文件格式</w:t>
      </w:r>
    </w:p>
    <w:p w14:paraId="4BF73955">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请仔细检查招标文件是否齐全，如有缺漏请立即与</w:t>
      </w:r>
      <w:r>
        <w:rPr>
          <w:rFonts w:hint="eastAsia" w:ascii="宋体" w:hAnsi="宋体" w:eastAsia="宋体" w:cs="宋体"/>
          <w:color w:val="000000"/>
          <w:sz w:val="21"/>
          <w:szCs w:val="21"/>
          <w:highlight w:val="none"/>
          <w:lang w:eastAsia="zh-CN"/>
        </w:rPr>
        <w:t>采购人或代理公司</w:t>
      </w:r>
      <w:r>
        <w:rPr>
          <w:rFonts w:hint="eastAsia" w:ascii="宋体" w:hAnsi="宋体" w:eastAsia="宋体" w:cs="宋体"/>
          <w:color w:val="000000"/>
          <w:sz w:val="21"/>
          <w:szCs w:val="21"/>
          <w:highlight w:val="none"/>
        </w:rPr>
        <w:t>联系解决。</w:t>
      </w:r>
    </w:p>
    <w:p w14:paraId="6CE22225">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BCE683">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bookmarkStart w:id="61" w:name="_Toc20823283"/>
      <w:bookmarkStart w:id="62" w:name="_Toc16938527"/>
      <w:bookmarkStart w:id="63" w:name="_Toc462564070"/>
      <w:bookmarkStart w:id="64" w:name="_Toc513029211"/>
      <w:r>
        <w:rPr>
          <w:rFonts w:hint="eastAsia" w:ascii="宋体" w:hAnsi="宋体" w:eastAsia="宋体" w:cs="宋体"/>
          <w:color w:val="000000"/>
          <w:sz w:val="21"/>
          <w:szCs w:val="21"/>
          <w:highlight w:val="none"/>
        </w:rPr>
        <w:t>7、招标文件的澄清</w:t>
      </w:r>
      <w:bookmarkEnd w:id="61"/>
      <w:bookmarkEnd w:id="62"/>
      <w:bookmarkEnd w:id="63"/>
      <w:bookmarkEnd w:id="64"/>
    </w:p>
    <w:p w14:paraId="51C9CA80">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7.1任何要求对招标文件进行澄清的投标人，应在投标截止期</w:t>
      </w:r>
      <w:r>
        <w:rPr>
          <w:rFonts w:hint="eastAsia" w:ascii="宋体" w:hAnsi="宋体" w:eastAsia="宋体" w:cs="宋体"/>
          <w:b/>
          <w:color w:val="000000"/>
          <w:sz w:val="21"/>
          <w:szCs w:val="21"/>
          <w:highlight w:val="none"/>
        </w:rPr>
        <w:t>十日</w:t>
      </w:r>
      <w:r>
        <w:rPr>
          <w:rFonts w:hint="eastAsia" w:ascii="宋体" w:hAnsi="宋体" w:eastAsia="宋体" w:cs="宋体"/>
          <w:color w:val="000000"/>
          <w:sz w:val="21"/>
          <w:szCs w:val="21"/>
          <w:highlight w:val="none"/>
        </w:rPr>
        <w:t>前按招标公告中的通讯地址，以书面形式通知</w:t>
      </w:r>
      <w:r>
        <w:rPr>
          <w:rFonts w:hint="eastAsia" w:ascii="宋体" w:hAnsi="宋体" w:eastAsia="宋体" w:cs="宋体"/>
          <w:color w:val="000000"/>
          <w:sz w:val="21"/>
          <w:szCs w:val="21"/>
          <w:highlight w:val="none"/>
          <w:lang w:eastAsia="zh-CN"/>
        </w:rPr>
        <w:t>采购人</w:t>
      </w:r>
      <w:r>
        <w:rPr>
          <w:rFonts w:hint="eastAsia" w:ascii="宋体" w:hAnsi="宋体" w:eastAsia="宋体" w:cs="宋体"/>
          <w:color w:val="000000"/>
          <w:sz w:val="21"/>
          <w:szCs w:val="21"/>
          <w:highlight w:val="none"/>
        </w:rPr>
        <w:t>。</w:t>
      </w:r>
    </w:p>
    <w:p w14:paraId="64D93D1A">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rPr>
      </w:pPr>
      <w:bookmarkStart w:id="65" w:name="_Toc16938528"/>
      <w:bookmarkStart w:id="66" w:name="_Toc513029212"/>
      <w:bookmarkStart w:id="67" w:name="_Toc20823284"/>
      <w:bookmarkStart w:id="68" w:name="_Toc462564071"/>
      <w:r>
        <w:rPr>
          <w:rFonts w:hint="eastAsia" w:ascii="宋体" w:hAnsi="宋体" w:eastAsia="宋体" w:cs="宋体"/>
          <w:color w:val="000000"/>
          <w:sz w:val="21"/>
          <w:szCs w:val="21"/>
          <w:highlight w:val="none"/>
        </w:rPr>
        <w:t>8、招标文件的修改</w:t>
      </w:r>
      <w:bookmarkEnd w:id="65"/>
      <w:bookmarkEnd w:id="66"/>
      <w:bookmarkEnd w:id="67"/>
      <w:bookmarkEnd w:id="68"/>
    </w:p>
    <w:p w14:paraId="79F7581C">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8.1在投标截止时间前，采购</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可以对招标文件进行修改。</w:t>
      </w:r>
    </w:p>
    <w:p w14:paraId="6C5CE647">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8.2采购</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有权按照法定的要求推迟投标截止日期和开标日期。</w:t>
      </w:r>
    </w:p>
    <w:p w14:paraId="38F13CBA">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8.3招标文件的修改将在</w:t>
      </w:r>
      <w:r>
        <w:rPr>
          <w:rFonts w:hint="eastAsia" w:ascii="宋体" w:hAnsi="宋体" w:eastAsia="宋体" w:cs="宋体"/>
          <w:color w:val="000000"/>
          <w:kern w:val="0"/>
          <w:sz w:val="21"/>
          <w:szCs w:val="21"/>
          <w:highlight w:val="none"/>
          <w:lang w:val="en-US" w:eastAsia="zh-CN" w:bidi="ar-SA"/>
        </w:rPr>
        <w:t>中国政府采购网</w:t>
      </w:r>
      <w:r>
        <w:rPr>
          <w:rFonts w:hint="eastAsia" w:ascii="宋体" w:hAnsi="宋体" w:eastAsia="宋体" w:cs="宋体"/>
          <w:i w:val="0"/>
          <w:iCs w:val="0"/>
          <w:caps w:val="0"/>
          <w:color w:val="333333"/>
          <w:spacing w:val="0"/>
          <w:sz w:val="21"/>
          <w:szCs w:val="21"/>
          <w:highlight w:val="none"/>
          <w:shd w:val="clear" w:fill="FFFFFF"/>
          <w:lang w:val="en-US" w:eastAsia="zh-CN"/>
        </w:rPr>
        <w:t>、</w:t>
      </w:r>
      <w:r>
        <w:rPr>
          <w:rFonts w:hint="eastAsia" w:ascii="宋体" w:hAnsi="宋体" w:eastAsia="宋体" w:cs="宋体"/>
          <w:color w:val="000000"/>
          <w:sz w:val="21"/>
          <w:szCs w:val="21"/>
          <w:highlight w:val="none"/>
        </w:rPr>
        <w:t>江苏政府采购网</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盐城市政府采购网公布，补充文件将作为招标文件的组成部分，并对投标人具有约束力。</w:t>
      </w:r>
      <w:bookmarkStart w:id="69" w:name="_Toc20823285"/>
      <w:bookmarkStart w:id="70" w:name="_Toc513029213"/>
      <w:bookmarkStart w:id="71" w:name="_Toc462564072"/>
      <w:bookmarkStart w:id="72" w:name="_Toc16938529"/>
      <w:bookmarkStart w:id="73" w:name="_Toc120614216"/>
    </w:p>
    <w:p w14:paraId="00278C9A">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三、投标文件的编制</w:t>
      </w:r>
      <w:bookmarkEnd w:id="69"/>
      <w:bookmarkEnd w:id="70"/>
      <w:bookmarkEnd w:id="71"/>
      <w:bookmarkEnd w:id="72"/>
      <w:bookmarkEnd w:id="73"/>
    </w:p>
    <w:p w14:paraId="3958D525">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bookmarkStart w:id="74" w:name="_Toc462564073"/>
      <w:bookmarkStart w:id="75" w:name="_Toc513029214"/>
      <w:bookmarkStart w:id="76" w:name="_Toc20823286"/>
      <w:bookmarkStart w:id="77" w:name="_Toc16938530"/>
      <w:r>
        <w:rPr>
          <w:rFonts w:hint="eastAsia" w:ascii="宋体" w:hAnsi="宋体" w:eastAsia="宋体" w:cs="宋体"/>
          <w:color w:val="000000"/>
          <w:sz w:val="21"/>
          <w:szCs w:val="21"/>
          <w:highlight w:val="none"/>
        </w:rPr>
        <w:t>9、投标文件的语言及度量衡单位</w:t>
      </w:r>
      <w:bookmarkEnd w:id="74"/>
      <w:bookmarkEnd w:id="75"/>
      <w:bookmarkEnd w:id="76"/>
      <w:bookmarkEnd w:id="77"/>
    </w:p>
    <w:p w14:paraId="4F02069C">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9.1投标人提交的投标文件以及投标人与</w:t>
      </w:r>
      <w:r>
        <w:rPr>
          <w:rFonts w:hint="eastAsia" w:ascii="宋体" w:hAnsi="宋体" w:eastAsia="宋体" w:cs="宋体"/>
          <w:color w:val="000000"/>
          <w:sz w:val="21"/>
          <w:szCs w:val="21"/>
          <w:highlight w:val="none"/>
          <w:lang w:eastAsia="zh-CN"/>
        </w:rPr>
        <w:t>采购人</w:t>
      </w:r>
      <w:r>
        <w:rPr>
          <w:rFonts w:hint="eastAsia" w:ascii="宋体" w:hAnsi="宋体" w:eastAsia="宋体" w:cs="宋体"/>
          <w:color w:val="000000"/>
          <w:sz w:val="21"/>
          <w:szCs w:val="21"/>
          <w:highlight w:val="none"/>
        </w:rPr>
        <w:t>就有关投标的所有来往通知、函件和文件均应使用</w:t>
      </w:r>
      <w:r>
        <w:rPr>
          <w:rFonts w:hint="eastAsia" w:ascii="宋体" w:hAnsi="宋体" w:eastAsia="宋体" w:cs="宋体"/>
          <w:b/>
          <w:color w:val="000000"/>
          <w:sz w:val="21"/>
          <w:szCs w:val="21"/>
          <w:highlight w:val="none"/>
        </w:rPr>
        <w:t>简体中文</w:t>
      </w:r>
      <w:r>
        <w:rPr>
          <w:rFonts w:hint="eastAsia" w:ascii="宋体" w:hAnsi="宋体" w:eastAsia="宋体" w:cs="宋体"/>
          <w:color w:val="000000"/>
          <w:sz w:val="21"/>
          <w:szCs w:val="21"/>
          <w:highlight w:val="none"/>
        </w:rPr>
        <w:t>。</w:t>
      </w:r>
    </w:p>
    <w:p w14:paraId="4BFB97B0">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9.2除技术性能另有规定外，投标文件所使用的度量衡单位，均须采用国家法定计量单位。</w:t>
      </w:r>
    </w:p>
    <w:p w14:paraId="5A005DB0">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bookmarkStart w:id="78" w:name="_Toc513029215"/>
      <w:bookmarkStart w:id="79" w:name="_Toc16938531"/>
      <w:bookmarkStart w:id="80" w:name="_Toc20823287"/>
      <w:bookmarkStart w:id="81" w:name="_Toc462564074"/>
      <w:r>
        <w:rPr>
          <w:rFonts w:hint="eastAsia" w:ascii="宋体" w:hAnsi="宋体" w:eastAsia="宋体" w:cs="宋体"/>
          <w:color w:val="000000"/>
          <w:sz w:val="21"/>
          <w:szCs w:val="21"/>
          <w:highlight w:val="none"/>
        </w:rPr>
        <w:t>10、投标文件构成</w:t>
      </w:r>
      <w:bookmarkEnd w:id="78"/>
      <w:bookmarkEnd w:id="79"/>
      <w:bookmarkEnd w:id="80"/>
      <w:bookmarkEnd w:id="81"/>
    </w:p>
    <w:p w14:paraId="2CDE719A">
      <w:pPr>
        <w:pStyle w:val="15"/>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10.1投标人编写的投标文件应包括资格证明文件、符合性证明文件、投标分项报价表、技术要求响应及偏离表、商务要求响应及偏离表、其他证明文件、投标函、开标一览表等部分。</w:t>
      </w:r>
    </w:p>
    <w:p w14:paraId="43A68060">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10.2如标书制作工具中格式和内容与</w:t>
      </w:r>
      <w:r>
        <w:rPr>
          <w:rFonts w:hint="eastAsia" w:ascii="宋体" w:hAnsi="宋体" w:eastAsia="宋体" w:cs="宋体"/>
          <w:i w:val="0"/>
          <w:iCs w:val="0"/>
          <w:caps w:val="0"/>
          <w:color w:val="333333"/>
          <w:spacing w:val="0"/>
          <w:sz w:val="21"/>
          <w:szCs w:val="21"/>
          <w:highlight w:val="none"/>
          <w:shd w:val="clear" w:fill="FFFFFF"/>
          <w:lang w:val="en-US" w:eastAsia="zh-CN"/>
        </w:rPr>
        <w:t>“</w:t>
      </w:r>
      <w:r>
        <w:rPr>
          <w:rFonts w:hint="eastAsia" w:ascii="宋体" w:hAnsi="宋体" w:eastAsia="宋体" w:cs="宋体"/>
          <w:color w:val="000000"/>
          <w:kern w:val="0"/>
          <w:sz w:val="21"/>
          <w:szCs w:val="21"/>
          <w:highlight w:val="none"/>
          <w:lang w:val="en-US" w:eastAsia="zh-CN" w:bidi="ar-SA"/>
        </w:rPr>
        <w:t>中国政府采购网”“</w:t>
      </w:r>
      <w:r>
        <w:rPr>
          <w:rFonts w:hint="eastAsia" w:ascii="宋体" w:hAnsi="宋体" w:eastAsia="宋体" w:cs="宋体"/>
          <w:color w:val="000000"/>
          <w:sz w:val="21"/>
          <w:szCs w:val="21"/>
          <w:highlight w:val="none"/>
        </w:rPr>
        <w:t>江苏政府采购网</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盐城市政府采购网”发布的招标文件不一致，请以</w:t>
      </w:r>
      <w:r>
        <w:rPr>
          <w:rFonts w:hint="eastAsia" w:ascii="宋体" w:hAnsi="宋体" w:eastAsia="宋体" w:cs="宋体"/>
          <w:i w:val="0"/>
          <w:iCs w:val="0"/>
          <w:caps w:val="0"/>
          <w:color w:val="333333"/>
          <w:spacing w:val="0"/>
          <w:sz w:val="21"/>
          <w:szCs w:val="21"/>
          <w:highlight w:val="none"/>
          <w:shd w:val="clear" w:fill="FFFFFF"/>
          <w:lang w:val="en-US" w:eastAsia="zh-CN"/>
        </w:rPr>
        <w:t>“</w:t>
      </w:r>
      <w:r>
        <w:rPr>
          <w:rFonts w:hint="eastAsia" w:ascii="宋体" w:hAnsi="宋体" w:eastAsia="宋体" w:cs="宋体"/>
          <w:color w:val="000000"/>
          <w:kern w:val="0"/>
          <w:sz w:val="21"/>
          <w:szCs w:val="21"/>
          <w:highlight w:val="none"/>
          <w:lang w:val="en-US" w:eastAsia="zh-CN" w:bidi="ar-SA"/>
        </w:rPr>
        <w:t>中国政府采购网”“</w:t>
      </w:r>
      <w:r>
        <w:rPr>
          <w:rFonts w:hint="eastAsia" w:ascii="宋体" w:hAnsi="宋体" w:eastAsia="宋体" w:cs="宋体"/>
          <w:color w:val="000000"/>
          <w:sz w:val="21"/>
          <w:szCs w:val="21"/>
          <w:highlight w:val="none"/>
        </w:rPr>
        <w:t>江苏政府采购网</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盐城市政府采购网”发布的招标文件为准。</w:t>
      </w:r>
    </w:p>
    <w:p w14:paraId="58AAE2F3">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bookmarkStart w:id="82" w:name="_Toc14577354"/>
      <w:bookmarkStart w:id="83" w:name="_Toc49090509"/>
      <w:bookmarkStart w:id="84" w:name="_Toc513029216"/>
      <w:bookmarkStart w:id="85" w:name="_Toc49090507"/>
      <w:bookmarkStart w:id="86" w:name="_Toc513029219"/>
      <w:bookmarkStart w:id="87" w:name="_Toc14577357"/>
      <w:bookmarkStart w:id="88" w:name="_Hlt26670360"/>
      <w:bookmarkStart w:id="89" w:name="_Hlt26668975"/>
      <w:bookmarkStart w:id="90" w:name="_Hlt26954838"/>
      <w:r>
        <w:rPr>
          <w:rFonts w:hint="eastAsia" w:ascii="宋体" w:hAnsi="宋体" w:eastAsia="宋体" w:cs="宋体"/>
          <w:color w:val="000000"/>
          <w:sz w:val="21"/>
          <w:szCs w:val="21"/>
          <w:highlight w:val="none"/>
        </w:rPr>
        <w:t>11、证明投标人及投标标的符合招标文件规定的文件</w:t>
      </w:r>
      <w:bookmarkEnd w:id="82"/>
      <w:bookmarkEnd w:id="83"/>
      <w:bookmarkEnd w:id="84"/>
      <w:bookmarkEnd w:id="85"/>
      <w:bookmarkEnd w:id="86"/>
      <w:bookmarkEnd w:id="87"/>
    </w:p>
    <w:p w14:paraId="7BCF26D9">
      <w:pPr>
        <w:pStyle w:val="15"/>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bookmarkStart w:id="91" w:name="_Toc14577355"/>
      <w:bookmarkStart w:id="92" w:name="_Toc49090508"/>
      <w:r>
        <w:rPr>
          <w:rFonts w:hint="eastAsia" w:ascii="宋体" w:hAnsi="宋体" w:eastAsia="宋体" w:cs="宋体"/>
          <w:color w:val="000000"/>
          <w:sz w:val="21"/>
          <w:szCs w:val="21"/>
          <w:highlight w:val="none"/>
        </w:rPr>
        <w:t>11.1投标人应按照法律、法规、规章和规范性文件以及招标文件要求提交证明文件，证明其及投标标的符合招标文件规定。</w:t>
      </w:r>
      <w:bookmarkEnd w:id="91"/>
      <w:bookmarkEnd w:id="92"/>
    </w:p>
    <w:p w14:paraId="68EBD425">
      <w:pPr>
        <w:pStyle w:val="15"/>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11.2招标文件对证明文件无明确形式要求的，证明文件可以以文字资料、图纸和数据等形式提交。</w:t>
      </w:r>
    </w:p>
    <w:p w14:paraId="7379301C">
      <w:pPr>
        <w:pStyle w:val="15"/>
        <w:pageBreakBefore w:val="0"/>
        <w:widowControl w:val="0"/>
        <w:numPr>
          <w:ilvl w:val="0"/>
          <w:numId w:val="2"/>
        </w:numPr>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投标分项报价</w:t>
      </w:r>
      <w:bookmarkStart w:id="93" w:name="_Hlt26670373"/>
      <w:r>
        <w:rPr>
          <w:rFonts w:hint="eastAsia" w:ascii="宋体" w:hAnsi="宋体" w:eastAsia="宋体" w:cs="宋体"/>
          <w:color w:val="000000"/>
          <w:sz w:val="21"/>
          <w:szCs w:val="21"/>
          <w:highlight w:val="none"/>
        </w:rPr>
        <w:t>表</w:t>
      </w:r>
      <w:bookmarkStart w:id="94" w:name="_Hlt26670399"/>
      <w:bookmarkStart w:id="95" w:name="_Hlt26954840"/>
    </w:p>
    <w:p w14:paraId="25F1AFE8">
      <w:pPr>
        <w:pStyle w:val="15"/>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无</w:t>
      </w:r>
      <w:r>
        <w:rPr>
          <w:rFonts w:hint="eastAsia" w:ascii="宋体" w:hAnsi="宋体" w:eastAsia="宋体" w:cs="宋体"/>
          <w:color w:val="000000"/>
          <w:sz w:val="21"/>
          <w:szCs w:val="21"/>
          <w:highlight w:val="none"/>
        </w:rPr>
        <w:t>。</w:t>
      </w:r>
    </w:p>
    <w:p w14:paraId="3E71C8AC">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bookmarkStart w:id="96" w:name="_Hlt26954844"/>
      <w:bookmarkStart w:id="97" w:name="_Hlt26668983"/>
      <w:bookmarkStart w:id="98" w:name="_Hlt26670482"/>
      <w:bookmarkStart w:id="99" w:name="_Hlt26670425"/>
      <w:bookmarkStart w:id="100" w:name="_Hlt26670403"/>
      <w:bookmarkStart w:id="101" w:name="_Hlt26954731"/>
      <w:bookmarkStart w:id="102" w:name="_Hlt26954848"/>
      <w:bookmarkStart w:id="103" w:name="_Hlt26954846"/>
      <w:bookmarkStart w:id="104" w:name="_Hlt26670486"/>
      <w:bookmarkStart w:id="105" w:name="_Hlt26954842"/>
      <w:r>
        <w:rPr>
          <w:rFonts w:hint="eastAsia" w:ascii="宋体" w:hAnsi="宋体" w:eastAsia="宋体" w:cs="宋体"/>
          <w:color w:val="000000"/>
          <w:sz w:val="21"/>
          <w:szCs w:val="21"/>
          <w:highlight w:val="none"/>
        </w:rPr>
        <w:t>13、技术要求响应及偏离表、商务要求响应及偏离表</w:t>
      </w:r>
    </w:p>
    <w:p w14:paraId="7633F01F">
      <w:pPr>
        <w:pStyle w:val="15"/>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13.1投标人需对招标文件中的技术要求与商务要求逐项作出响应或偏离，并说明原因。</w:t>
      </w:r>
    </w:p>
    <w:p w14:paraId="39ED4825">
      <w:pPr>
        <w:pStyle w:val="15"/>
        <w:pageBreakBefore w:val="0"/>
        <w:widowControl w:val="0"/>
        <w:tabs>
          <w:tab w:val="left" w:pos="1036"/>
        </w:tabs>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13.2投标人可在投标文件中提供认为需要的其他技术文件或说明。</w:t>
      </w:r>
    </w:p>
    <w:p w14:paraId="3BCCF779">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bookmarkStart w:id="106" w:name="_Toc49090510"/>
      <w:bookmarkStart w:id="107" w:name="_Toc14577359"/>
      <w:r>
        <w:rPr>
          <w:rFonts w:hint="eastAsia" w:ascii="宋体" w:hAnsi="宋体" w:eastAsia="宋体" w:cs="宋体"/>
          <w:color w:val="000000"/>
          <w:sz w:val="21"/>
          <w:szCs w:val="21"/>
          <w:highlight w:val="none"/>
        </w:rPr>
        <w:t>14、投标函和开标一览表</w:t>
      </w:r>
      <w:bookmarkEnd w:id="106"/>
      <w:bookmarkEnd w:id="107"/>
    </w:p>
    <w:p w14:paraId="1BEB9EC7">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14.1投标人应按照招标文件中提供的格式完整、正确填写投标函、开标一览表。</w:t>
      </w:r>
    </w:p>
    <w:p w14:paraId="53CB0256">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sz w:val="21"/>
          <w:szCs w:val="21"/>
          <w:highlight w:val="none"/>
        </w:rPr>
      </w:pPr>
      <w:bookmarkStart w:id="108" w:name="_Toc14577360"/>
      <w:bookmarkStart w:id="109" w:name="_Toc49090511"/>
      <w:bookmarkStart w:id="110" w:name="_Hlt26954734"/>
      <w:bookmarkStart w:id="111" w:name="_Hlt26670489"/>
      <w:bookmarkStart w:id="112" w:name="_Hlt26954850"/>
      <w:r>
        <w:rPr>
          <w:rFonts w:hint="eastAsia" w:ascii="宋体" w:hAnsi="宋体" w:eastAsia="宋体" w:cs="宋体"/>
          <w:color w:val="000000"/>
          <w:sz w:val="21"/>
          <w:szCs w:val="21"/>
          <w:highlight w:val="none"/>
        </w:rPr>
        <w:t>15、投标有效期</w:t>
      </w:r>
      <w:bookmarkEnd w:id="108"/>
      <w:bookmarkEnd w:id="109"/>
    </w:p>
    <w:p w14:paraId="6CB8DD62">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15.1投标有效期为采购中心规定的开标之日后</w:t>
      </w:r>
      <w:r>
        <w:rPr>
          <w:rFonts w:hint="eastAsia" w:ascii="宋体" w:hAnsi="宋体" w:eastAsia="宋体" w:cs="宋体"/>
          <w:b/>
          <w:color w:val="auto"/>
          <w:sz w:val="21"/>
          <w:szCs w:val="21"/>
          <w:highlight w:val="none"/>
          <w:u w:val="single"/>
          <w:lang w:val="en-US" w:eastAsia="zh-CN"/>
        </w:rPr>
        <w:t>九</w:t>
      </w:r>
      <w:r>
        <w:rPr>
          <w:rFonts w:hint="eastAsia" w:ascii="宋体" w:hAnsi="宋体" w:eastAsia="宋体" w:cs="宋体"/>
          <w:b/>
          <w:color w:val="auto"/>
          <w:sz w:val="21"/>
          <w:szCs w:val="21"/>
          <w:highlight w:val="none"/>
          <w:u w:val="single"/>
        </w:rPr>
        <w:t>十（</w:t>
      </w:r>
      <w:r>
        <w:rPr>
          <w:rFonts w:hint="eastAsia" w:ascii="宋体" w:hAnsi="宋体" w:eastAsia="宋体" w:cs="宋体"/>
          <w:b/>
          <w:color w:val="auto"/>
          <w:sz w:val="21"/>
          <w:szCs w:val="21"/>
          <w:highlight w:val="none"/>
          <w:u w:val="single"/>
          <w:lang w:val="en-US" w:eastAsia="zh-CN"/>
        </w:rPr>
        <w:t>9</w:t>
      </w:r>
      <w:r>
        <w:rPr>
          <w:rFonts w:hint="eastAsia" w:ascii="宋体" w:hAnsi="宋体" w:eastAsia="宋体" w:cs="宋体"/>
          <w:b/>
          <w:color w:val="auto"/>
          <w:sz w:val="21"/>
          <w:szCs w:val="21"/>
          <w:highlight w:val="none"/>
          <w:u w:val="single"/>
        </w:rPr>
        <w:t>0）天</w:t>
      </w:r>
      <w:r>
        <w:rPr>
          <w:rFonts w:hint="eastAsia" w:ascii="宋体" w:hAnsi="宋体" w:eastAsia="宋体" w:cs="宋体"/>
          <w:color w:val="000000"/>
          <w:sz w:val="21"/>
          <w:szCs w:val="21"/>
          <w:highlight w:val="none"/>
        </w:rPr>
        <w:t>。投标有效期比规定短的将被视为未实质性响应招标文件而予以拒绝。</w:t>
      </w:r>
    </w:p>
    <w:p w14:paraId="0A08692B">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16、投标有效期的延长</w:t>
      </w:r>
    </w:p>
    <w:p w14:paraId="580C2F5C">
      <w:pPr>
        <w:pStyle w:val="15"/>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16.1在特殊情况下，采购</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于原投标有效期满之前，可向投标人提出延长投标有效期的要求。这种要求与答复均应采用书面形式。投标人可以拒绝采购</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的这一要求而放弃投标。同意延长投标有效期的投标人既不能要求也不允许修改其投标文件，同时受投标有效期约束的所有权利与义务均延长至新的有效期。</w:t>
      </w:r>
    </w:p>
    <w:p w14:paraId="1E06A6BF">
      <w:pPr>
        <w:pStyle w:val="15"/>
        <w:keepNext/>
        <w:keepLines/>
        <w:pageBreakBefore w:val="0"/>
        <w:widowControl w:val="0"/>
        <w:kinsoku/>
        <w:wordWrap/>
        <w:overflowPunct/>
        <w:topLinePunct w:val="0"/>
        <w:autoSpaceDE/>
        <w:autoSpaceDN/>
        <w:bidi w:val="0"/>
        <w:adjustRightInd/>
        <w:snapToGrid/>
        <w:spacing w:before="145" w:beforeAutospacing="0" w:after="145" w:afterAutospacing="0" w:line="500" w:lineRule="exact"/>
        <w:ind w:firstLine="482"/>
        <w:jc w:val="both"/>
        <w:textAlignment w:val="auto"/>
        <w:rPr>
          <w:rFonts w:hint="eastAsia" w:ascii="宋体" w:hAnsi="宋体" w:eastAsia="宋体" w:cs="宋体"/>
          <w:sz w:val="21"/>
          <w:szCs w:val="21"/>
          <w:highlight w:val="none"/>
        </w:rPr>
      </w:pPr>
      <w:bookmarkStart w:id="113" w:name="_Toc120614217"/>
      <w:bookmarkStart w:id="114" w:name="_Toc16938540"/>
      <w:bookmarkStart w:id="115" w:name="_Toc20823296"/>
      <w:bookmarkStart w:id="116" w:name="_Toc513029224"/>
      <w:bookmarkStart w:id="117" w:name="_Hlt26954739"/>
      <w:bookmarkStart w:id="118" w:name="_Hlt26954852"/>
      <w:r>
        <w:rPr>
          <w:rFonts w:hint="eastAsia" w:ascii="宋体" w:hAnsi="宋体" w:eastAsia="宋体" w:cs="宋体"/>
          <w:b/>
          <w:color w:val="000000"/>
          <w:sz w:val="21"/>
          <w:szCs w:val="21"/>
          <w:highlight w:val="none"/>
        </w:rPr>
        <w:t>四、投标文件的递交</w:t>
      </w:r>
      <w:bookmarkEnd w:id="113"/>
      <w:bookmarkEnd w:id="114"/>
      <w:bookmarkEnd w:id="115"/>
      <w:bookmarkEnd w:id="116"/>
    </w:p>
    <w:p w14:paraId="4C633EA9">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bookmarkStart w:id="119" w:name="_Toc16938541"/>
      <w:bookmarkStart w:id="120" w:name="_Toc513029225"/>
      <w:bookmarkStart w:id="121" w:name="_Toc20823297"/>
      <w:bookmarkStart w:id="122" w:name="_Toc462564084"/>
      <w:r>
        <w:rPr>
          <w:rFonts w:hint="eastAsia" w:ascii="宋体" w:hAnsi="宋体" w:eastAsia="宋体" w:cs="宋体"/>
          <w:color w:val="000000"/>
          <w:sz w:val="21"/>
          <w:szCs w:val="21"/>
          <w:highlight w:val="none"/>
        </w:rPr>
        <w:t>17、投标文件</w:t>
      </w:r>
      <w:bookmarkEnd w:id="119"/>
      <w:bookmarkEnd w:id="120"/>
      <w:bookmarkEnd w:id="121"/>
      <w:bookmarkEnd w:id="122"/>
      <w:r>
        <w:rPr>
          <w:rFonts w:hint="eastAsia" w:ascii="宋体" w:hAnsi="宋体" w:eastAsia="宋体" w:cs="宋体"/>
          <w:color w:val="000000"/>
          <w:sz w:val="21"/>
          <w:szCs w:val="21"/>
          <w:highlight w:val="none"/>
        </w:rPr>
        <w:t>的递交</w:t>
      </w:r>
    </w:p>
    <w:p w14:paraId="26BFC676">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17.1 电子投标文件的递交</w:t>
      </w:r>
    </w:p>
    <w:p w14:paraId="65F6134F">
      <w:pPr>
        <w:pStyle w:val="15"/>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投标人应当按照《操作手册》规定，在投标截止时间前制作并上传电子投标文件。</w:t>
      </w:r>
      <w:bookmarkStart w:id="123" w:name="_Toc20823298"/>
      <w:bookmarkEnd w:id="123"/>
      <w:bookmarkStart w:id="124" w:name="_Toc16938542"/>
      <w:bookmarkEnd w:id="124"/>
      <w:bookmarkStart w:id="125" w:name="_Toc513029226"/>
    </w:p>
    <w:p w14:paraId="4F21A69A">
      <w:pPr>
        <w:pStyle w:val="15"/>
        <w:keepNext/>
        <w:keepLines/>
        <w:pageBreakBefore w:val="0"/>
        <w:widowControl w:val="0"/>
        <w:kinsoku/>
        <w:wordWrap/>
        <w:overflowPunct/>
        <w:topLinePunct w:val="0"/>
        <w:autoSpaceDE/>
        <w:autoSpaceDN/>
        <w:bidi w:val="0"/>
        <w:adjustRightInd/>
        <w:snapToGrid/>
        <w:spacing w:before="145" w:beforeAutospacing="0" w:after="145" w:afterAutospacing="0" w:line="500" w:lineRule="exact"/>
        <w:ind w:firstLine="482"/>
        <w:jc w:val="both"/>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18、投标截止时间</w:t>
      </w:r>
    </w:p>
    <w:p w14:paraId="674070DF">
      <w:pPr>
        <w:pStyle w:val="15"/>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color w:val="000000"/>
          <w:sz w:val="21"/>
          <w:szCs w:val="21"/>
          <w:highlight w:val="none"/>
          <w:u w:val="single"/>
        </w:rPr>
      </w:pPr>
      <w:r>
        <w:rPr>
          <w:rFonts w:hint="eastAsia" w:ascii="宋体" w:hAnsi="宋体" w:eastAsia="宋体" w:cs="宋体"/>
          <w:i/>
          <w:iCs/>
          <w:sz w:val="21"/>
          <w:szCs w:val="21"/>
          <w:highlight w:val="none"/>
          <w:u w:val="single"/>
        </w:rPr>
        <w:t>18.1投标人上传电子投标文件的时间不得迟于招标公告中规定的投标截止时间。</w:t>
      </w:r>
    </w:p>
    <w:p w14:paraId="237BBC07">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投标人应充分考虑到网络环境、网络带宽等风险因素，如因投标人自身原因造成的电子投标文件上传不成功的按照本招标文件第二章第26.1.2条 规定做无效投标处理。</w:t>
      </w:r>
    </w:p>
    <w:p w14:paraId="120F6522">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18.2采购</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可以按照规定，通过修改招标文件酌情延长投标截止时间，在此情况下，投标人的所有权利和义务以及投标人受制的截止时间均应以延长后新的截止时间为准。</w:t>
      </w:r>
    </w:p>
    <w:p w14:paraId="3AECB744">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bookmarkStart w:id="126" w:name="_Toc20823299"/>
      <w:bookmarkStart w:id="127" w:name="_Toc16938543"/>
      <w:bookmarkStart w:id="128" w:name="_Toc513029227"/>
      <w:r>
        <w:rPr>
          <w:rFonts w:hint="eastAsia" w:ascii="宋体" w:hAnsi="宋体" w:eastAsia="宋体" w:cs="宋体"/>
          <w:color w:val="000000"/>
          <w:sz w:val="21"/>
          <w:szCs w:val="21"/>
          <w:highlight w:val="none"/>
        </w:rPr>
        <w:t>19、投标文件</w:t>
      </w:r>
      <w:bookmarkEnd w:id="126"/>
      <w:bookmarkEnd w:id="127"/>
      <w:bookmarkEnd w:id="128"/>
      <w:r>
        <w:rPr>
          <w:rFonts w:hint="eastAsia" w:ascii="宋体" w:hAnsi="宋体" w:eastAsia="宋体" w:cs="宋体"/>
          <w:color w:val="000000"/>
          <w:sz w:val="21"/>
          <w:szCs w:val="21"/>
          <w:highlight w:val="none"/>
        </w:rPr>
        <w:t>的拒收</w:t>
      </w:r>
    </w:p>
    <w:p w14:paraId="2B48FBBD">
      <w:pPr>
        <w:pStyle w:val="15"/>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19.1采购中心拒绝接收在其规定的投标截止时间后上传的任何投标文件。</w:t>
      </w:r>
    </w:p>
    <w:p w14:paraId="6520AEC0">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bookmarkStart w:id="129" w:name="_Toc20823300"/>
      <w:bookmarkStart w:id="130" w:name="_Toc513029228"/>
      <w:bookmarkStart w:id="131" w:name="_Toc16938544"/>
      <w:r>
        <w:rPr>
          <w:rFonts w:hint="eastAsia" w:ascii="宋体" w:hAnsi="宋体" w:eastAsia="宋体" w:cs="宋体"/>
          <w:color w:val="000000"/>
          <w:sz w:val="21"/>
          <w:szCs w:val="21"/>
          <w:highlight w:val="none"/>
        </w:rPr>
        <w:t>20、投标文件的撤回和修改</w:t>
      </w:r>
      <w:bookmarkEnd w:id="129"/>
      <w:bookmarkEnd w:id="130"/>
      <w:bookmarkEnd w:id="131"/>
    </w:p>
    <w:p w14:paraId="2C6476A3">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20.1投标文件的撤回</w:t>
      </w:r>
    </w:p>
    <w:p w14:paraId="72EBA9C8">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.1.1电子投标文件的撤回</w:t>
      </w:r>
    </w:p>
    <w:p w14:paraId="26CBD294">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投标人可在投标截止时间前，撤回其电子投标文件，具体操作方法见《操作手册》。</w:t>
      </w:r>
    </w:p>
    <w:p w14:paraId="3ED51487">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.1.2投标人撤回电子投标文件，则认为其不再参与本项目投标活动。</w:t>
      </w:r>
    </w:p>
    <w:p w14:paraId="090FC03B">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20.2 投标文件的修改</w:t>
      </w:r>
    </w:p>
    <w:p w14:paraId="053F4E45">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20.2.1投标人可在投标截止时间前，对其电子投标文件进行修改，具体操作方法见《操作手册》。</w:t>
      </w:r>
    </w:p>
    <w:p w14:paraId="7AABAAF3">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20.2.2在投标截止时间之后，投标人不得对其电子投标文件作任何修改。</w:t>
      </w:r>
    </w:p>
    <w:p w14:paraId="1BEFAE9D">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20.3在投标截止时间至招标文件中规定的投标有效期满之间的这段时间内，投标人不得撤回其投标。</w:t>
      </w:r>
    </w:p>
    <w:p w14:paraId="1BB23621">
      <w:pPr>
        <w:pStyle w:val="15"/>
        <w:keepNext/>
        <w:keepLines/>
        <w:pageBreakBefore w:val="0"/>
        <w:widowControl w:val="0"/>
        <w:kinsoku/>
        <w:wordWrap/>
        <w:overflowPunct/>
        <w:topLinePunct w:val="0"/>
        <w:autoSpaceDE/>
        <w:autoSpaceDN/>
        <w:bidi w:val="0"/>
        <w:adjustRightInd/>
        <w:snapToGrid/>
        <w:spacing w:before="145" w:beforeAutospacing="0" w:after="145" w:afterAutospacing="0" w:line="500" w:lineRule="exact"/>
        <w:ind w:firstLine="482"/>
        <w:jc w:val="both"/>
        <w:textAlignment w:val="auto"/>
        <w:rPr>
          <w:rFonts w:hint="eastAsia" w:ascii="宋体" w:hAnsi="宋体" w:eastAsia="宋体" w:cs="宋体"/>
          <w:sz w:val="21"/>
          <w:szCs w:val="21"/>
          <w:highlight w:val="none"/>
        </w:rPr>
      </w:pPr>
      <w:bookmarkStart w:id="132" w:name="_Toc120614218"/>
      <w:bookmarkStart w:id="133" w:name="_Toc513029229"/>
      <w:bookmarkStart w:id="134" w:name="_Toc20823301"/>
      <w:bookmarkStart w:id="135" w:name="_Toc16938545"/>
      <w:r>
        <w:rPr>
          <w:rFonts w:hint="eastAsia" w:ascii="宋体" w:hAnsi="宋体" w:eastAsia="宋体" w:cs="宋体"/>
          <w:b/>
          <w:color w:val="000000"/>
          <w:sz w:val="21"/>
          <w:szCs w:val="21"/>
          <w:highlight w:val="none"/>
        </w:rPr>
        <w:t>五、开标与评标</w:t>
      </w:r>
      <w:bookmarkEnd w:id="132"/>
      <w:bookmarkEnd w:id="133"/>
      <w:bookmarkEnd w:id="134"/>
      <w:bookmarkEnd w:id="135"/>
    </w:p>
    <w:p w14:paraId="2C4C772A">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color w:val="auto"/>
          <w:sz w:val="21"/>
          <w:szCs w:val="21"/>
          <w:highlight w:val="none"/>
        </w:rPr>
      </w:pPr>
      <w:bookmarkStart w:id="136" w:name="_Toc20823302"/>
      <w:bookmarkStart w:id="137" w:name="_Toc513029230"/>
      <w:bookmarkStart w:id="138" w:name="_Toc16938546"/>
      <w:r>
        <w:rPr>
          <w:rFonts w:hint="eastAsia" w:ascii="宋体" w:hAnsi="宋体" w:eastAsia="宋体" w:cs="宋体"/>
          <w:color w:val="auto"/>
          <w:sz w:val="21"/>
          <w:szCs w:val="21"/>
          <w:highlight w:val="none"/>
        </w:rPr>
        <w:t>21、开标</w:t>
      </w:r>
      <w:bookmarkEnd w:id="136"/>
      <w:bookmarkEnd w:id="137"/>
      <w:bookmarkEnd w:id="138"/>
    </w:p>
    <w:p w14:paraId="3FFA4913">
      <w:pPr>
        <w:pStyle w:val="15"/>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将在招标公告中规定的时间和地点组织公开开标。投标人应当按照《操作手册》规定，参加开标活动和在苏采云系统规定的时间内对投标文件进行解密。</w:t>
      </w:r>
    </w:p>
    <w:p w14:paraId="01390B07">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21.2开标仪式由采购中心组织。苏采云系统将自动对项目进行开标，并宣布各投标人名称和投标价格。</w:t>
      </w:r>
    </w:p>
    <w:p w14:paraId="24D42C9F">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21.3投标人在开标过程中涉及到的投标文件解密、开标结果确认等工作，应按照《操作手册》规定执行。</w:t>
      </w:r>
    </w:p>
    <w:p w14:paraId="6DF31ED7">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21.4投标人如果对开标过程和开标记录有疑义，应当根据《操作手册》规定提出，如苏采云系统中《开标记录表》宣布后5分钟内未提出的，视同认可开标结果。</w:t>
      </w:r>
    </w:p>
    <w:p w14:paraId="388DE53A">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color w:val="auto"/>
          <w:sz w:val="21"/>
          <w:szCs w:val="21"/>
          <w:highlight w:val="none"/>
        </w:rPr>
      </w:pPr>
      <w:bookmarkStart w:id="139" w:name="_Toc16938547"/>
      <w:bookmarkStart w:id="140" w:name="_Toc513029231"/>
      <w:bookmarkStart w:id="141" w:name="_Toc20823303"/>
      <w:r>
        <w:rPr>
          <w:rFonts w:hint="eastAsia" w:ascii="宋体" w:hAnsi="宋体" w:eastAsia="宋体" w:cs="宋体"/>
          <w:color w:val="000000"/>
          <w:sz w:val="21"/>
          <w:szCs w:val="21"/>
          <w:highlight w:val="none"/>
        </w:rPr>
        <w:t>22、评标</w:t>
      </w:r>
      <w:r>
        <w:rPr>
          <w:rFonts w:hint="eastAsia" w:ascii="宋体" w:hAnsi="宋体" w:eastAsia="宋体" w:cs="宋体"/>
          <w:color w:val="auto"/>
          <w:sz w:val="21"/>
          <w:szCs w:val="21"/>
          <w:highlight w:val="none"/>
        </w:rPr>
        <w:t>委员会</w:t>
      </w:r>
      <w:bookmarkEnd w:id="139"/>
      <w:bookmarkEnd w:id="140"/>
      <w:bookmarkEnd w:id="141"/>
    </w:p>
    <w:p w14:paraId="2A744671">
      <w:pPr>
        <w:pStyle w:val="15"/>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22.1开标后，采购</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将立即组织评标委员会（以下简称评委会）进行评标。</w:t>
      </w:r>
    </w:p>
    <w:p w14:paraId="20656C36">
      <w:pPr>
        <w:pStyle w:val="15"/>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 </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color w:val="000000"/>
          <w:sz w:val="21"/>
          <w:szCs w:val="21"/>
          <w:highlight w:val="none"/>
        </w:rPr>
        <w:t>22.2评委会由采购人代表和有关技术、经济等方面的专家组成，且人员构成符合政府采购有关规定。</w:t>
      </w:r>
    </w:p>
    <w:p w14:paraId="1DF8D947">
      <w:pPr>
        <w:pStyle w:val="15"/>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color w:val="000000"/>
          <w:sz w:val="21"/>
          <w:szCs w:val="21"/>
          <w:highlight w:val="none"/>
        </w:rPr>
        <w:t>22.3评委会独立工作，负责评审所有投标文件并确定中标</w:t>
      </w:r>
      <w:r>
        <w:rPr>
          <w:rFonts w:hint="eastAsia" w:ascii="宋体" w:hAnsi="宋体" w:eastAsia="宋体" w:cs="宋体"/>
          <w:color w:val="000000"/>
          <w:sz w:val="21"/>
          <w:szCs w:val="21"/>
          <w:highlight w:val="none"/>
          <w:lang w:eastAsia="zh-CN"/>
        </w:rPr>
        <w:t>候选人</w:t>
      </w:r>
      <w:r>
        <w:rPr>
          <w:rFonts w:hint="eastAsia" w:ascii="宋体" w:hAnsi="宋体" w:eastAsia="宋体" w:cs="宋体"/>
          <w:color w:val="000000"/>
          <w:sz w:val="21"/>
          <w:szCs w:val="21"/>
          <w:highlight w:val="none"/>
        </w:rPr>
        <w:t>。</w:t>
      </w:r>
    </w:p>
    <w:p w14:paraId="28C925DA">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23、评标过程的保密与公正</w:t>
      </w:r>
    </w:p>
    <w:p w14:paraId="57F459E2">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23.1凡是与审查、澄清、评价和比较投标的有关资料以及授标建议等，采购人、评委、</w:t>
      </w:r>
      <w:r>
        <w:rPr>
          <w:rFonts w:hint="eastAsia" w:ascii="宋体" w:hAnsi="宋体" w:eastAsia="宋体" w:cs="宋体"/>
          <w:color w:val="000000"/>
          <w:sz w:val="21"/>
          <w:szCs w:val="21"/>
          <w:highlight w:val="none"/>
          <w:lang w:eastAsia="zh-CN"/>
        </w:rPr>
        <w:t>代理公司</w:t>
      </w:r>
      <w:r>
        <w:rPr>
          <w:rFonts w:hint="eastAsia" w:ascii="宋体" w:hAnsi="宋体" w:eastAsia="宋体" w:cs="宋体"/>
          <w:color w:val="000000"/>
          <w:sz w:val="21"/>
          <w:szCs w:val="21"/>
          <w:highlight w:val="none"/>
        </w:rPr>
        <w:t>均不得向投标人或与评标无关的其他人员透露。</w:t>
      </w:r>
    </w:p>
    <w:p w14:paraId="390A3B58">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23.2在评标过程中，投标人不得以任何行为影响评标过程，否则其投标文件将被作为无效投标文件。</w:t>
      </w:r>
    </w:p>
    <w:p w14:paraId="50BCF125">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23.</w:t>
      </w:r>
      <w:r>
        <w:rPr>
          <w:rFonts w:hint="eastAsia" w:ascii="宋体" w:hAnsi="宋体" w:eastAsia="宋体" w:cs="宋体"/>
          <w:color w:val="auto"/>
          <w:sz w:val="21"/>
          <w:szCs w:val="21"/>
          <w:highlight w:val="none"/>
        </w:rPr>
        <w:t>3采购</w:t>
      </w:r>
      <w:r>
        <w:rPr>
          <w:rFonts w:hint="eastAsia" w:ascii="宋体" w:hAnsi="宋体" w:eastAsia="宋体" w:cs="宋体"/>
          <w:color w:val="auto"/>
          <w:sz w:val="21"/>
          <w:szCs w:val="21"/>
          <w:highlight w:val="none"/>
          <w:lang w:eastAsia="zh-CN"/>
        </w:rPr>
        <w:t>人、代理公司</w:t>
      </w:r>
      <w:r>
        <w:rPr>
          <w:rFonts w:hint="eastAsia" w:ascii="宋体" w:hAnsi="宋体" w:eastAsia="宋体" w:cs="宋体"/>
          <w:color w:val="auto"/>
          <w:sz w:val="21"/>
          <w:szCs w:val="21"/>
          <w:highlight w:val="none"/>
        </w:rPr>
        <w:t>和评标委员会不向未中标的投标人解释未中标原因，也不公布评标过程中的相关细节。</w:t>
      </w:r>
    </w:p>
    <w:p w14:paraId="5811AC55">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23.4采用综合评分法的项目，未中标的</w:t>
      </w:r>
      <w:r>
        <w:rPr>
          <w:rFonts w:hint="eastAsia" w:ascii="宋体" w:hAnsi="宋体" w:eastAsia="宋体" w:cs="宋体"/>
          <w:color w:val="000000"/>
          <w:sz w:val="21"/>
          <w:szCs w:val="21"/>
          <w:highlight w:val="none"/>
        </w:rPr>
        <w:t>投标人可于中标结果公告期限届满之日起通过苏采云系统查看自己的评审得分及排序情况。</w:t>
      </w:r>
    </w:p>
    <w:p w14:paraId="54153DDE">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sz w:val="21"/>
          <w:szCs w:val="21"/>
          <w:highlight w:val="none"/>
        </w:rPr>
      </w:pPr>
      <w:bookmarkStart w:id="142" w:name="_Toc16938548"/>
      <w:bookmarkStart w:id="143" w:name="_Toc513029232"/>
      <w:bookmarkStart w:id="144" w:name="_Toc20823304"/>
      <w:r>
        <w:rPr>
          <w:rFonts w:hint="eastAsia" w:ascii="宋体" w:hAnsi="宋体" w:eastAsia="宋体" w:cs="宋体"/>
          <w:color w:val="000000"/>
          <w:sz w:val="21"/>
          <w:szCs w:val="21"/>
          <w:highlight w:val="none"/>
        </w:rPr>
        <w:t>24、投标文件的澄清</w:t>
      </w:r>
      <w:bookmarkEnd w:id="142"/>
      <w:bookmarkEnd w:id="143"/>
      <w:bookmarkEnd w:id="144"/>
    </w:p>
    <w:p w14:paraId="26A54FE7">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24.1评标期间，评委会对投标文件中含义不明确、同类问题表述不一致或者有明显文字和计算错误的内容，有权要求投标人作出必要的澄清、说明或者补正。</w:t>
      </w:r>
    </w:p>
    <w:p w14:paraId="29F4FB70">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投标人的澄清、说明或者补正不得超出投标文件的范围或者改变投标文件的实质性内容。</w:t>
      </w:r>
    </w:p>
    <w:p w14:paraId="3B1C0700">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评标委员会并非对每个投标人都做澄清要求。</w:t>
      </w:r>
    </w:p>
    <w:p w14:paraId="36C4B1EC">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1"/>
          <w:szCs w:val="21"/>
          <w:highlight w:val="none"/>
        </w:rPr>
        <w:t>投标文件的补充部分，具体操作方式见《操作手册》。</w:t>
      </w:r>
    </w:p>
    <w:p w14:paraId="40AB8EBE">
      <w:pPr>
        <w:pStyle w:val="15"/>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24.3接到评委会澄清、说明和补正要求的投标人如未按规定</w:t>
      </w:r>
      <w:r>
        <w:rPr>
          <w:rFonts w:hint="eastAsia" w:ascii="宋体" w:hAnsi="宋体" w:eastAsia="宋体" w:cs="宋体"/>
          <w:color w:val="000000"/>
          <w:sz w:val="21"/>
          <w:szCs w:val="21"/>
          <w:highlight w:val="none"/>
          <w:lang w:eastAsia="zh-CN"/>
        </w:rPr>
        <w:t>作出</w:t>
      </w:r>
      <w:r>
        <w:rPr>
          <w:rFonts w:hint="eastAsia" w:ascii="宋体" w:hAnsi="宋体" w:eastAsia="宋体" w:cs="宋体"/>
          <w:color w:val="000000"/>
          <w:sz w:val="21"/>
          <w:szCs w:val="21"/>
          <w:highlight w:val="none"/>
        </w:rPr>
        <w:t>澄清、说明和补正，其风险由投标人自行承担。</w:t>
      </w:r>
    </w:p>
    <w:p w14:paraId="6E30B691">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sz w:val="21"/>
          <w:szCs w:val="21"/>
          <w:highlight w:val="none"/>
        </w:rPr>
      </w:pPr>
      <w:bookmarkStart w:id="145" w:name="_Toc513029233"/>
      <w:bookmarkStart w:id="146" w:name="_Toc20823305"/>
      <w:bookmarkStart w:id="147" w:name="_Toc16938549"/>
      <w:r>
        <w:rPr>
          <w:rFonts w:hint="eastAsia" w:ascii="宋体" w:hAnsi="宋体" w:eastAsia="宋体" w:cs="宋体"/>
          <w:color w:val="000000"/>
          <w:sz w:val="21"/>
          <w:szCs w:val="21"/>
          <w:highlight w:val="none"/>
        </w:rPr>
        <w:t>25、对投标文件的初审</w:t>
      </w:r>
      <w:bookmarkEnd w:id="145"/>
      <w:bookmarkEnd w:id="146"/>
      <w:bookmarkEnd w:id="147"/>
    </w:p>
    <w:p w14:paraId="71756E3B">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25.1投标文件初审分为资格审查和符合性审查。</w:t>
      </w:r>
    </w:p>
    <w:p w14:paraId="18F44AD5">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25.1.1资格审查：依据法律法规和招标文件的规定，由采购人对投标文件中的资格证明文件进行审查。资格审查的结论，采购人以书面形式向评委会进行反馈。</w:t>
      </w:r>
    </w:p>
    <w:p w14:paraId="6A4B8600">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采购人在进行资格性审查的同时，将在“信用中国”网站（www.creditchina.gov.cn）查询投标人的信用记录，以确定投标人是否具备投标资格,查询结果留存并归档。</w:t>
      </w:r>
    </w:p>
    <w:p w14:paraId="45C5179D">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0E1B06C9">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25.1.2符合性审查：依据招标文件的规定，由评委会从投标文件的有效性、完整性和对招标文件的响应程度进行审查，以确定是否对招标文件的实质性要求作出响应。</w:t>
      </w:r>
    </w:p>
    <w:p w14:paraId="0FC7AF8F">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25.1.3未通过资格审查或符合性审查的投标人，采购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将在苏采云系统中告知未通过资格审查或符合性审查的原因，评标结束后，采购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将不再告知</w:t>
      </w:r>
      <w:r>
        <w:rPr>
          <w:rFonts w:hint="eastAsia" w:ascii="宋体" w:hAnsi="宋体" w:eastAsia="宋体" w:cs="宋体"/>
          <w:color w:val="000000"/>
          <w:sz w:val="21"/>
          <w:szCs w:val="21"/>
          <w:highlight w:val="none"/>
        </w:rPr>
        <w:t>未通过资格审查和符合性审查的原因。</w:t>
      </w:r>
    </w:p>
    <w:p w14:paraId="21A80F1A">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EF87519">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77D1C32">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25.3如果投标文件实质上没有响应招标文件的要求，评委会将予以拒绝，投标人不得通过修改或撤销不合要求的偏离或保留而使其投标成为实质性响应的投标。</w:t>
      </w:r>
    </w:p>
    <w:p w14:paraId="4FCA6640">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25.4评委会将对确定为实质性响应的投标进行进一步审核，确定其是否有计算上或累加上的算术错误，修正错误的原则如下：</w:t>
      </w:r>
    </w:p>
    <w:p w14:paraId="463946E2">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（1）投标文件中开标一览表内容与投标文件中相应内容不一致的，以开标一览表为准。</w:t>
      </w:r>
    </w:p>
    <w:p w14:paraId="4AA7B771">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（2）大写金额和小写金额不一致的，以大写金额为准。</w:t>
      </w:r>
    </w:p>
    <w:p w14:paraId="44F56D61">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（3）单价金额小数点或者百分比有明显错位的，以开标一览表的总价为准，并修改单价。</w:t>
      </w:r>
    </w:p>
    <w:p w14:paraId="0157CF21">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（4）总价金额与按单价汇总金额不一致的，以单价金额计算结果为准。</w:t>
      </w:r>
    </w:p>
    <w:p w14:paraId="2D36D6CA">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同时出现两种以上错误的，按照前款规定的顺序修正。</w:t>
      </w:r>
    </w:p>
    <w:p w14:paraId="1143D9AB">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1230C2C8">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1"/>
          <w:szCs w:val="21"/>
          <w:highlight w:val="none"/>
        </w:rPr>
      </w:pPr>
      <w:bookmarkStart w:id="148" w:name="_Toc16938550"/>
      <w:bookmarkStart w:id="149" w:name="_Toc20823306"/>
      <w:bookmarkStart w:id="150" w:name="_Toc513029234"/>
      <w:r>
        <w:rPr>
          <w:rFonts w:hint="eastAsia" w:ascii="宋体" w:hAnsi="宋体" w:eastAsia="宋体" w:cs="宋体"/>
          <w:color w:val="auto"/>
          <w:sz w:val="21"/>
          <w:szCs w:val="21"/>
          <w:highlight w:val="none"/>
        </w:rPr>
        <w:t>25.6投标人在开、评标全过程中应</w:t>
      </w:r>
      <w:r>
        <w:rPr>
          <w:rFonts w:hint="eastAsia" w:ascii="宋体" w:hAnsi="宋体" w:eastAsia="宋体" w:cs="宋体"/>
          <w:color w:val="auto"/>
          <w:sz w:val="21"/>
          <w:szCs w:val="21"/>
          <w:highlight w:val="none"/>
          <w:lang w:eastAsia="zh-CN"/>
        </w:rPr>
        <w:t>保持通信畅通</w:t>
      </w:r>
      <w:r>
        <w:rPr>
          <w:rFonts w:hint="eastAsia" w:ascii="宋体" w:hAnsi="宋体" w:eastAsia="宋体" w:cs="宋体"/>
          <w:color w:val="auto"/>
          <w:sz w:val="21"/>
          <w:szCs w:val="21"/>
          <w:highlight w:val="none"/>
        </w:rPr>
        <w:t>，及时登录苏采云系统查阅、答复相关信息，并安排专人与采购中心及评标委员会联系。</w:t>
      </w:r>
      <w:bookmarkEnd w:id="148"/>
      <w:bookmarkEnd w:id="149"/>
      <w:bookmarkEnd w:id="150"/>
    </w:p>
    <w:p w14:paraId="25F3BE20">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26、无效投标条款和废标条款</w:t>
      </w:r>
    </w:p>
    <w:p w14:paraId="7FB12682">
      <w:pPr>
        <w:pStyle w:val="15"/>
        <w:pageBreakBefore w:val="0"/>
        <w:widowControl w:val="0"/>
        <w:kinsoku/>
        <w:wordWrap/>
        <w:overflowPunct/>
        <w:topLinePunct w:val="0"/>
        <w:autoSpaceDE/>
        <w:autoSpaceDN/>
        <w:bidi w:val="0"/>
        <w:adjustRightInd/>
        <w:snapToGrid/>
        <w:spacing w:beforeAutospacing="0" w:afterAutospacing="0" w:line="500" w:lineRule="exact"/>
        <w:ind w:left="479"/>
        <w:jc w:val="both"/>
        <w:textAlignment w:val="auto"/>
        <w:rPr>
          <w:rFonts w:hint="eastAsia" w:ascii="宋体" w:hAnsi="宋体" w:eastAsia="宋体" w:cs="宋体"/>
          <w:color w:val="auto"/>
          <w:sz w:val="21"/>
          <w:szCs w:val="21"/>
          <w:highlight w:val="none"/>
        </w:rPr>
      </w:pPr>
      <w:bookmarkStart w:id="151" w:name="_Toc16938551"/>
      <w:bookmarkStart w:id="152" w:name="_Toc513029235"/>
      <w:bookmarkStart w:id="153" w:name="_Toc20823307"/>
      <w:r>
        <w:rPr>
          <w:rFonts w:hint="eastAsia" w:ascii="宋体" w:hAnsi="宋体" w:eastAsia="宋体" w:cs="宋体"/>
          <w:color w:val="auto"/>
          <w:sz w:val="21"/>
          <w:szCs w:val="21"/>
          <w:highlight w:val="none"/>
        </w:rPr>
        <w:t>26.1无效投标条款</w:t>
      </w:r>
      <w:bookmarkEnd w:id="151"/>
      <w:bookmarkEnd w:id="152"/>
      <w:bookmarkEnd w:id="153"/>
    </w:p>
    <w:p w14:paraId="53B8CA9C">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26.1.1投标人在苏采云系统规定的时间内未成功解密电子投标文件的。</w:t>
      </w:r>
    </w:p>
    <w:p w14:paraId="66D8985D">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26.1.2投标人未按照招标文件要求上传电子投标文件的。</w:t>
      </w:r>
    </w:p>
    <w:p w14:paraId="435C93E7">
      <w:pPr>
        <w:pStyle w:val="15"/>
        <w:pageBreakBefore w:val="0"/>
        <w:widowControl w:val="0"/>
        <w:kinsoku/>
        <w:wordWrap/>
        <w:overflowPunct/>
        <w:topLinePunct w:val="0"/>
        <w:autoSpaceDE/>
        <w:autoSpaceDN/>
        <w:bidi w:val="0"/>
        <w:adjustRightInd/>
        <w:snapToGrid/>
        <w:spacing w:beforeAutospacing="0" w:afterAutospacing="0" w:line="500" w:lineRule="exact"/>
        <w:ind w:left="479"/>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26.1.3同一投标人提交两个（含两个）以上不同的投标报价的。</w:t>
      </w:r>
    </w:p>
    <w:p w14:paraId="2DA1CF55">
      <w:pPr>
        <w:pStyle w:val="15"/>
        <w:pageBreakBefore w:val="0"/>
        <w:widowControl w:val="0"/>
        <w:kinsoku/>
        <w:wordWrap/>
        <w:overflowPunct/>
        <w:topLinePunct w:val="0"/>
        <w:autoSpaceDE/>
        <w:autoSpaceDN/>
        <w:bidi w:val="0"/>
        <w:adjustRightInd/>
        <w:snapToGrid/>
        <w:spacing w:beforeAutospacing="0" w:afterAutospacing="0" w:line="500" w:lineRule="exact"/>
        <w:ind w:left="479"/>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26.1.4投标人不具备招标文件中规定资格要求的。</w:t>
      </w:r>
    </w:p>
    <w:p w14:paraId="3BA9591A">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26.1.5投标人的报价超过了采购预算或最高限价的。</w:t>
      </w:r>
    </w:p>
    <w:p w14:paraId="05DAFB39">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26.1.6未通过符合性审查的。</w:t>
      </w:r>
    </w:p>
    <w:p w14:paraId="41A1E490">
      <w:pPr>
        <w:pStyle w:val="15"/>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26.1.7不符合招标文件中规定的实质性要求和条件的（</w:t>
      </w:r>
      <w:r>
        <w:rPr>
          <w:rFonts w:hint="eastAsia" w:ascii="宋体" w:hAnsi="宋体" w:eastAsia="宋体" w:cs="宋体"/>
          <w:i/>
          <w:color w:val="000000"/>
          <w:sz w:val="21"/>
          <w:szCs w:val="21"/>
          <w:highlight w:val="none"/>
          <w:u w:val="single"/>
        </w:rPr>
        <w:t>本招标文件中斜体且有下划线部分为实质性要求和条件）。</w:t>
      </w:r>
    </w:p>
    <w:p w14:paraId="43387AC7">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B16356A">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26.1.9投标文件含有采购人不能接受的附加条件的。</w:t>
      </w:r>
    </w:p>
    <w:p w14:paraId="570B6381">
      <w:pPr>
        <w:pStyle w:val="15"/>
        <w:widowControl/>
        <w:spacing w:before="100" w:beforeAutospacing="0" w:after="100" w:afterAutospacing="0" w:line="0" w:lineRule="atLeast"/>
        <w:ind w:firstLine="480"/>
        <w:jc w:val="both"/>
        <w:rPr>
          <w:rFonts w:hint="eastAsia" w:ascii="宋体" w:hAnsi="宋体" w:eastAsia="宋体" w:cs="宋体"/>
          <w:color w:val="auto"/>
          <w:kern w:val="0"/>
          <w:sz w:val="21"/>
          <w:szCs w:val="21"/>
          <w:highlight w:val="none"/>
        </w:rPr>
      </w:pPr>
      <w:r>
        <w:rPr>
          <w:rFonts w:hint="eastAsia" w:ascii="宋体" w:hAnsi="宋体" w:eastAsia="宋体" w:cs="宋体"/>
          <w:color w:val="000000"/>
          <w:sz w:val="21"/>
          <w:szCs w:val="21"/>
          <w:highlight w:val="none"/>
        </w:rPr>
        <w:t>26.1.10</w:t>
      </w:r>
      <w:r>
        <w:rPr>
          <w:rFonts w:hint="eastAsia" w:ascii="宋体" w:hAnsi="宋体" w:eastAsia="宋体" w:cs="宋体"/>
          <w:color w:val="auto"/>
          <w:kern w:val="0"/>
          <w:sz w:val="21"/>
          <w:szCs w:val="21"/>
          <w:highlight w:val="none"/>
        </w:rPr>
        <w:t>投标人不能证明其报价合理性的，评</w:t>
      </w:r>
      <w:r>
        <w:rPr>
          <w:rFonts w:hint="eastAsia" w:ascii="宋体" w:hAnsi="宋体" w:eastAsia="宋体" w:cs="宋体"/>
          <w:color w:val="auto"/>
          <w:kern w:val="0"/>
          <w:sz w:val="21"/>
          <w:szCs w:val="21"/>
          <w:highlight w:val="none"/>
          <w:lang w:val="en-US" w:eastAsia="zh-CN"/>
        </w:rPr>
        <w:t>标</w:t>
      </w:r>
      <w:r>
        <w:rPr>
          <w:rFonts w:hint="eastAsia" w:ascii="宋体" w:hAnsi="宋体" w:eastAsia="宋体" w:cs="宋体"/>
          <w:color w:val="auto"/>
          <w:kern w:val="0"/>
          <w:sz w:val="21"/>
          <w:szCs w:val="21"/>
          <w:highlight w:val="none"/>
        </w:rPr>
        <w:t>委员会应当将其作为无效投标处理。</w:t>
      </w:r>
    </w:p>
    <w:p w14:paraId="4C8EAF97">
      <w:pPr>
        <w:keepNext w:val="0"/>
        <w:keepLines w:val="0"/>
        <w:pageBreakBefore w:val="0"/>
        <w:widowControl/>
        <w:kinsoku/>
        <w:wordWrap/>
        <w:overflowPunct/>
        <w:topLinePunct w:val="0"/>
        <w:autoSpaceDE/>
        <w:autoSpaceDN/>
        <w:bidi w:val="0"/>
        <w:adjustRightInd/>
        <w:snapToGrid/>
        <w:spacing w:before="100" w:beforeAutospacing="0" w:after="100" w:afterAutospacing="0" w:line="500" w:lineRule="exact"/>
        <w:ind w:firstLine="482"/>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（一）评审过程中出现下列情形之一的，评标委员会应当启动异常低价投标审查程序：</w:t>
      </w:r>
    </w:p>
    <w:p w14:paraId="0236C112">
      <w:pPr>
        <w:keepNext w:val="0"/>
        <w:keepLines w:val="0"/>
        <w:pageBreakBefore w:val="0"/>
        <w:widowControl/>
        <w:kinsoku/>
        <w:wordWrap/>
        <w:overflowPunct/>
        <w:topLinePunct w:val="0"/>
        <w:autoSpaceDE/>
        <w:autoSpaceDN/>
        <w:bidi w:val="0"/>
        <w:adjustRightInd/>
        <w:snapToGrid/>
        <w:spacing w:before="100" w:beforeAutospacing="0" w:after="100" w:afterAutospacing="0" w:line="500" w:lineRule="exact"/>
        <w:ind w:firstLine="482"/>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1.投标报价低于采购项目预算（最高限价）65%的，即投标报价&lt;采购项目预算（最高限价）×65%；</w:t>
      </w:r>
    </w:p>
    <w:p w14:paraId="438E9F1D">
      <w:pPr>
        <w:keepNext w:val="0"/>
        <w:keepLines w:val="0"/>
        <w:pageBreakBefore w:val="0"/>
        <w:widowControl/>
        <w:kinsoku/>
        <w:wordWrap/>
        <w:overflowPunct/>
        <w:topLinePunct w:val="0"/>
        <w:autoSpaceDE/>
        <w:autoSpaceDN/>
        <w:bidi w:val="0"/>
        <w:adjustRightInd/>
        <w:snapToGrid/>
        <w:spacing w:before="100" w:beforeAutospacing="0" w:after="100" w:afterAutospacing="0" w:line="500" w:lineRule="exact"/>
        <w:ind w:firstLine="482"/>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2.评标委员会认定的供应商报价过低、有可能影响产品质量或者不能诚信履约的其他情形。</w:t>
      </w:r>
    </w:p>
    <w:p w14:paraId="38AC1265">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SA"/>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18627F4F">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26.1.11投标文件未按照招标文件要求加盖CA电子公章的。</w:t>
      </w:r>
    </w:p>
    <w:p w14:paraId="742E7BA7">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26.1.12其他法律、法规及本招标文件规定的属无效投标的情形。</w:t>
      </w:r>
    </w:p>
    <w:p w14:paraId="2ACAC68A">
      <w:pPr>
        <w:pStyle w:val="15"/>
        <w:pageBreakBefore w:val="0"/>
        <w:widowControl w:val="0"/>
        <w:kinsoku/>
        <w:wordWrap/>
        <w:overflowPunct/>
        <w:topLinePunct w:val="0"/>
        <w:autoSpaceDE/>
        <w:autoSpaceDN/>
        <w:bidi w:val="0"/>
        <w:adjustRightInd/>
        <w:snapToGrid/>
        <w:spacing w:beforeAutospacing="0" w:afterAutospacing="0" w:line="500" w:lineRule="exact"/>
        <w:ind w:left="479"/>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26.2废标条款</w:t>
      </w:r>
    </w:p>
    <w:p w14:paraId="5626BAE3">
      <w:pPr>
        <w:pStyle w:val="15"/>
        <w:pageBreakBefore w:val="0"/>
        <w:widowControl w:val="0"/>
        <w:kinsoku/>
        <w:wordWrap/>
        <w:overflowPunct/>
        <w:topLinePunct w:val="0"/>
        <w:autoSpaceDE/>
        <w:autoSpaceDN/>
        <w:bidi w:val="0"/>
        <w:adjustRightInd/>
        <w:snapToGrid/>
        <w:spacing w:beforeAutospacing="0" w:afterAutospacing="0" w:line="500" w:lineRule="exact"/>
        <w:ind w:left="479"/>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26.2.1符合专业条件的供应商或者对招标文件作实质响应的供应商不足三家的。</w:t>
      </w:r>
    </w:p>
    <w:p w14:paraId="76ABCD28">
      <w:pPr>
        <w:pStyle w:val="15"/>
        <w:pageBreakBefore w:val="0"/>
        <w:widowControl w:val="0"/>
        <w:kinsoku/>
        <w:wordWrap/>
        <w:overflowPunct/>
        <w:topLinePunct w:val="0"/>
        <w:autoSpaceDE/>
        <w:autoSpaceDN/>
        <w:bidi w:val="0"/>
        <w:adjustRightInd/>
        <w:snapToGrid/>
        <w:spacing w:beforeAutospacing="0" w:afterAutospacing="0" w:line="500" w:lineRule="exact"/>
        <w:ind w:left="479"/>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26.2.2出现影响采购公正的违法、违规行为的。</w:t>
      </w:r>
    </w:p>
    <w:p w14:paraId="6837BF2C">
      <w:pPr>
        <w:pStyle w:val="15"/>
        <w:pageBreakBefore w:val="0"/>
        <w:widowControl w:val="0"/>
        <w:kinsoku/>
        <w:wordWrap/>
        <w:overflowPunct/>
        <w:topLinePunct w:val="0"/>
        <w:autoSpaceDE/>
        <w:autoSpaceDN/>
        <w:bidi w:val="0"/>
        <w:adjustRightInd/>
        <w:snapToGrid/>
        <w:spacing w:beforeAutospacing="0" w:afterAutospacing="0" w:line="500" w:lineRule="exact"/>
        <w:ind w:left="479"/>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26.2.3因重大变故，采购任务取消的。</w:t>
      </w:r>
    </w:p>
    <w:p w14:paraId="571B12E8">
      <w:pPr>
        <w:pStyle w:val="15"/>
        <w:pageBreakBefore w:val="0"/>
        <w:widowControl w:val="0"/>
        <w:kinsoku/>
        <w:wordWrap/>
        <w:overflowPunct/>
        <w:topLinePunct w:val="0"/>
        <w:autoSpaceDE/>
        <w:autoSpaceDN/>
        <w:bidi w:val="0"/>
        <w:adjustRightInd/>
        <w:snapToGrid/>
        <w:spacing w:beforeAutospacing="0" w:afterAutospacing="0" w:line="500" w:lineRule="exact"/>
        <w:ind w:left="479"/>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26.2.4评标委员会认定招标文件存在歧义、重大缺陷导致评审工作无法进行。</w:t>
      </w:r>
    </w:p>
    <w:p w14:paraId="233CF4F2">
      <w:pPr>
        <w:pStyle w:val="15"/>
        <w:pageBreakBefore w:val="0"/>
        <w:widowControl w:val="0"/>
        <w:kinsoku/>
        <w:wordWrap/>
        <w:overflowPunct/>
        <w:topLinePunct w:val="0"/>
        <w:autoSpaceDE/>
        <w:autoSpaceDN/>
        <w:bidi w:val="0"/>
        <w:adjustRightInd/>
        <w:snapToGrid/>
        <w:spacing w:beforeAutospacing="0" w:afterAutospacing="0" w:line="500" w:lineRule="exact"/>
        <w:ind w:left="479"/>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26.2.5因苏采云系统系统故障原因造成开标不成功的。</w:t>
      </w:r>
    </w:p>
    <w:p w14:paraId="25998E9E">
      <w:pPr>
        <w:pStyle w:val="15"/>
        <w:pageBreakBefore w:val="0"/>
        <w:widowControl w:val="0"/>
        <w:kinsoku/>
        <w:wordWrap/>
        <w:overflowPunct/>
        <w:topLinePunct w:val="0"/>
        <w:autoSpaceDE/>
        <w:autoSpaceDN/>
        <w:bidi w:val="0"/>
        <w:adjustRightInd/>
        <w:snapToGrid/>
        <w:spacing w:beforeAutospacing="0" w:afterAutospacing="0" w:line="500" w:lineRule="exact"/>
        <w:ind w:left="479"/>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26.3 投标截止时间结束后参加投标的供应商不足三家的处理：</w:t>
      </w:r>
    </w:p>
    <w:p w14:paraId="6F8D70A4">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26.3.1如出现投标截止时间结束后参加投标的供应商或者在评标期间对招标文件做出实质响应的供应商不足三家情况，按政府采购相关规定执行。</w:t>
      </w:r>
    </w:p>
    <w:p w14:paraId="54251A44">
      <w:pPr>
        <w:pStyle w:val="15"/>
        <w:keepNext/>
        <w:keepLines/>
        <w:pageBreakBefore w:val="0"/>
        <w:widowControl w:val="0"/>
        <w:kinsoku/>
        <w:wordWrap/>
        <w:overflowPunct/>
        <w:topLinePunct w:val="0"/>
        <w:autoSpaceDE/>
        <w:autoSpaceDN/>
        <w:bidi w:val="0"/>
        <w:adjustRightInd/>
        <w:snapToGrid/>
        <w:spacing w:before="145" w:beforeAutospacing="0" w:after="145" w:afterAutospacing="0" w:line="500" w:lineRule="exact"/>
        <w:ind w:firstLine="482"/>
        <w:jc w:val="both"/>
        <w:textAlignment w:val="auto"/>
        <w:rPr>
          <w:rFonts w:hint="eastAsia" w:ascii="宋体" w:hAnsi="宋体" w:eastAsia="宋体" w:cs="宋体"/>
          <w:sz w:val="21"/>
          <w:szCs w:val="21"/>
          <w:highlight w:val="none"/>
        </w:rPr>
      </w:pPr>
      <w:bookmarkStart w:id="154" w:name="_Toc120614219"/>
      <w:r>
        <w:rPr>
          <w:rFonts w:hint="eastAsia" w:ascii="宋体" w:hAnsi="宋体" w:eastAsia="宋体" w:cs="宋体"/>
          <w:b/>
          <w:color w:val="000000"/>
          <w:sz w:val="21"/>
          <w:szCs w:val="21"/>
          <w:highlight w:val="none"/>
        </w:rPr>
        <w:t>六、定标</w:t>
      </w:r>
      <w:bookmarkEnd w:id="154"/>
    </w:p>
    <w:p w14:paraId="609C833C">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bookmarkStart w:id="155" w:name="_Toc20823310"/>
      <w:bookmarkStart w:id="156" w:name="_Toc513029238"/>
      <w:bookmarkStart w:id="157" w:name="_Toc16938554"/>
      <w:r>
        <w:rPr>
          <w:rFonts w:hint="eastAsia" w:ascii="宋体" w:hAnsi="宋体" w:eastAsia="宋体" w:cs="宋体"/>
          <w:color w:val="000000"/>
          <w:sz w:val="21"/>
          <w:szCs w:val="21"/>
          <w:highlight w:val="none"/>
        </w:rPr>
        <w:t>27、</w:t>
      </w:r>
      <w:bookmarkEnd w:id="155"/>
      <w:r>
        <w:rPr>
          <w:rFonts w:hint="eastAsia" w:ascii="宋体" w:hAnsi="宋体" w:eastAsia="宋体" w:cs="宋体"/>
          <w:color w:val="000000"/>
          <w:sz w:val="21"/>
          <w:szCs w:val="21"/>
          <w:highlight w:val="none"/>
        </w:rPr>
        <w:t>确定</w:t>
      </w:r>
      <w:bookmarkEnd w:id="156"/>
      <w:bookmarkEnd w:id="157"/>
      <w:r>
        <w:rPr>
          <w:rFonts w:hint="eastAsia" w:ascii="宋体" w:hAnsi="宋体" w:eastAsia="宋体" w:cs="宋体"/>
          <w:color w:val="000000"/>
          <w:sz w:val="21"/>
          <w:szCs w:val="21"/>
          <w:highlight w:val="none"/>
        </w:rPr>
        <w:t>中标单位</w:t>
      </w:r>
    </w:p>
    <w:p w14:paraId="2AB6A907">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27.1中标候选人的选取原则和数量见招标文件第五章规定。 </w:t>
      </w:r>
    </w:p>
    <w:p w14:paraId="17FFA727">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27.2采购人应根据评委会推荐的中标候选人确定中标人。</w:t>
      </w:r>
    </w:p>
    <w:p w14:paraId="1FD1F372">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27.3采购</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将在</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中国政府采购网”“</w:t>
      </w:r>
      <w:r>
        <w:rPr>
          <w:rFonts w:hint="eastAsia" w:ascii="宋体" w:hAnsi="宋体" w:eastAsia="宋体" w:cs="宋体"/>
          <w:color w:val="000000"/>
          <w:sz w:val="21"/>
          <w:szCs w:val="21"/>
          <w:highlight w:val="none"/>
        </w:rPr>
        <w:t>江苏政府采购网</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盐城市政府采购网”发布中标公告，公告期限为1个工作日。</w:t>
      </w:r>
    </w:p>
    <w:p w14:paraId="41C3973E">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27.4若有充分证据证明，中标人出现下列情况之一的，一经查实，将被取消中标资格：</w:t>
      </w:r>
    </w:p>
    <w:p w14:paraId="685A758D">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27.4.1提供虚假材料谋取中标的。</w:t>
      </w:r>
    </w:p>
    <w:p w14:paraId="5973AA07">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27.4.2向采购人、</w:t>
      </w:r>
      <w:r>
        <w:rPr>
          <w:rFonts w:hint="eastAsia" w:ascii="宋体" w:hAnsi="宋体" w:eastAsia="宋体" w:cs="宋体"/>
          <w:color w:val="000000"/>
          <w:sz w:val="21"/>
          <w:szCs w:val="21"/>
          <w:highlight w:val="none"/>
          <w:lang w:eastAsia="zh-CN"/>
        </w:rPr>
        <w:t>代理公司</w:t>
      </w:r>
      <w:r>
        <w:rPr>
          <w:rFonts w:hint="eastAsia" w:ascii="宋体" w:hAnsi="宋体" w:eastAsia="宋体" w:cs="宋体"/>
          <w:color w:val="000000"/>
          <w:sz w:val="21"/>
          <w:szCs w:val="21"/>
          <w:highlight w:val="none"/>
        </w:rPr>
        <w:t>行贿或者提供其他不正当利益的。</w:t>
      </w:r>
    </w:p>
    <w:p w14:paraId="42C47A67">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27.4.3属于本文件规定的无效条件，但在评标过程中又未被评委会发现的。</w:t>
      </w:r>
    </w:p>
    <w:p w14:paraId="2557B7C1">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27.4.4与采购人或者其他供应商恶意串通的。</w:t>
      </w:r>
    </w:p>
    <w:p w14:paraId="39DB40B5">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27.4.5采取不正当手段诋毁、排挤其他供应商的。</w:t>
      </w:r>
    </w:p>
    <w:p w14:paraId="359F1DB9">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bookmarkStart w:id="158" w:name="_Toc200451960"/>
      <w:r>
        <w:rPr>
          <w:rFonts w:hint="eastAsia" w:ascii="宋体" w:hAnsi="宋体" w:eastAsia="宋体" w:cs="宋体"/>
          <w:color w:val="000000"/>
          <w:sz w:val="21"/>
          <w:szCs w:val="21"/>
          <w:highlight w:val="none"/>
        </w:rPr>
        <w:t>27.5 有下列情形之一的，视为投标人串通投标，投标无效：</w:t>
      </w:r>
      <w:bookmarkEnd w:id="158"/>
    </w:p>
    <w:p w14:paraId="4A4B8D9A">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27.5.1不同投标人的投标文件由同一单位或者个人编制。</w:t>
      </w:r>
    </w:p>
    <w:p w14:paraId="59209E4B">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27.5.2不同投标人委托同一单位或者个人办理投标事宜。</w:t>
      </w:r>
    </w:p>
    <w:p w14:paraId="2A2191CD">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27.5.3不同投标人的投标文件载明的项目管理成员或者联系人员为同一人。</w:t>
      </w:r>
    </w:p>
    <w:p w14:paraId="1D9D00BF">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27.5.4不同投标人的投标文件异常一致或者投标报价呈规律性差异。</w:t>
      </w:r>
    </w:p>
    <w:p w14:paraId="1FA357F7">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28、质疑处理</w:t>
      </w:r>
    </w:p>
    <w:p w14:paraId="4C279A9B">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28.1提出质疑的供应商应当是参与所质疑项目采购活动的供应商。潜在供应商依法获取其可质疑的采购文件的，可以对采购文件提出质疑。</w:t>
      </w:r>
    </w:p>
    <w:p w14:paraId="717781AB">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686E0D9F">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28.2.1对可以质疑的采购文件提出质疑的，为收到采购文件之日或者采购文件公告期限届满之日；</w:t>
      </w:r>
    </w:p>
    <w:p w14:paraId="6BCE34BA">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28.2.2对采购过程提出质疑的，为各采购程序环节结束之日；</w:t>
      </w:r>
    </w:p>
    <w:p w14:paraId="5B797334">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28.2.3对中标或者成交结果提出质疑的，为中标或者成交结果公告期限届满之日。</w:t>
      </w:r>
    </w:p>
    <w:p w14:paraId="2D25EC6E">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highlight w:val="none"/>
          <w:lang w:eastAsia="zh-CN"/>
        </w:rPr>
        <w:t>代理公司</w:t>
      </w:r>
      <w:r>
        <w:rPr>
          <w:rFonts w:hint="eastAsia" w:ascii="宋体" w:hAnsi="宋体" w:eastAsia="宋体" w:cs="宋体"/>
          <w:color w:val="000000"/>
          <w:sz w:val="21"/>
          <w:szCs w:val="21"/>
          <w:highlight w:val="none"/>
        </w:rPr>
        <w:t>、采购人将只对供应商第一次质疑作出答复。</w:t>
      </w:r>
    </w:p>
    <w:p w14:paraId="76A90D99">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0F5D9416">
      <w:pPr>
        <w:pStyle w:val="15"/>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28.4</w:t>
      </w:r>
      <w:r>
        <w:rPr>
          <w:rFonts w:hint="eastAsia" w:ascii="宋体" w:hAnsi="宋体" w:eastAsia="宋体" w:cs="宋体"/>
          <w:color w:val="000000" w:themeColor="text1"/>
          <w:sz w:val="21"/>
          <w:szCs w:val="21"/>
          <w:highlight w:val="none"/>
          <w14:textFill>
            <w14:solidFill>
              <w14:schemeClr w14:val="tx1"/>
            </w14:solidFill>
          </w14:textFill>
        </w:rPr>
        <w:t>供应商（含潜在供应商）对采购方式、</w:t>
      </w:r>
      <w:r>
        <w:rPr>
          <w:rFonts w:hint="eastAsia" w:ascii="宋体" w:hAnsi="宋体" w:eastAsia="宋体" w:cs="宋体"/>
          <w:color w:val="000000" w:themeColor="text1"/>
          <w:sz w:val="21"/>
          <w:szCs w:val="21"/>
          <w:highlight w:val="none"/>
          <w:lang w:eastAsia="zh-CN"/>
          <w14:textFill>
            <w14:solidFill>
              <w14:schemeClr w14:val="tx1"/>
            </w14:solidFill>
          </w14:textFill>
        </w:rPr>
        <w:t>招标服务需求</w:t>
      </w:r>
      <w:r>
        <w:rPr>
          <w:rFonts w:hint="eastAsia" w:ascii="宋体" w:hAnsi="宋体" w:eastAsia="宋体" w:cs="宋体"/>
          <w:color w:val="000000" w:themeColor="text1"/>
          <w:sz w:val="21"/>
          <w:szCs w:val="21"/>
          <w:highlight w:val="none"/>
          <w14:textFill>
            <w14:solidFill>
              <w14:schemeClr w14:val="tx1"/>
            </w14:solidFill>
          </w14:textFill>
        </w:rPr>
        <w:t>、供应商资格条件及审查结果、评标方法和评标标准、合同文本的询问、质疑请向采购人提出，由采购人负责答复。</w:t>
      </w:r>
      <w:r>
        <w:rPr>
          <w:rFonts w:hint="eastAsia" w:ascii="宋体" w:hAnsi="宋体" w:eastAsia="宋体" w:cs="宋体"/>
          <w:color w:val="000000"/>
          <w:sz w:val="21"/>
          <w:szCs w:val="21"/>
          <w:highlight w:val="none"/>
        </w:rPr>
        <w:t>供应商对除上述事项以外其他事项的询问、质疑请向采购</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提出，由采购</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负责答复。</w:t>
      </w:r>
    </w:p>
    <w:p w14:paraId="63CA4796">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采购代理机构及采购人只接收以纸质原件形式送达的质疑,采购人和</w:t>
      </w:r>
      <w:r>
        <w:rPr>
          <w:rFonts w:hint="eastAsia" w:ascii="宋体" w:hAnsi="宋体" w:eastAsia="宋体" w:cs="宋体"/>
          <w:color w:val="000000"/>
          <w:sz w:val="21"/>
          <w:szCs w:val="21"/>
          <w:highlight w:val="none"/>
        </w:rPr>
        <w:t>采购代理机构</w:t>
      </w:r>
      <w:r>
        <w:rPr>
          <w:rFonts w:hint="eastAsia" w:ascii="宋体" w:hAnsi="宋体" w:eastAsia="宋体" w:cs="宋体"/>
          <w:color w:val="000000"/>
          <w:sz w:val="21"/>
          <w:szCs w:val="21"/>
          <w:highlight w:val="none"/>
          <w:lang w:val="en-US" w:eastAsia="zh-CN"/>
        </w:rPr>
        <w:t>不接受未填写快递运单的快件。质疑接收部门为公共资源交易中心业务受理处。</w:t>
      </w:r>
    </w:p>
    <w:p w14:paraId="37E616A4">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28.5 以下情形的质疑不予受理</w:t>
      </w:r>
    </w:p>
    <w:p w14:paraId="75557581">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28.5.1内容不符合《政府采购质疑和投诉办法》第十二条规定的质疑。</w:t>
      </w:r>
    </w:p>
    <w:p w14:paraId="3875B54A">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28.5.2超出政府采购法定期限的质疑。</w:t>
      </w:r>
    </w:p>
    <w:p w14:paraId="78004B98">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28.5.3以传真、电子邮件等方式递交的非原件形式的质疑。</w:t>
      </w:r>
    </w:p>
    <w:p w14:paraId="355CA4D7">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28.5.4未参加投标活动的供应商或在投标活动中自身权益未受到损害的供应商所提出的质疑。</w:t>
      </w:r>
    </w:p>
    <w:p w14:paraId="111544C6">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28.5.5供应商组成联合体参加投标，联合体中任何一方或多方未按要求签字、盖章、加盖公章的质疑。</w:t>
      </w:r>
    </w:p>
    <w:p w14:paraId="457CF031">
      <w:pPr>
        <w:pStyle w:val="15"/>
        <w:pageBreakBefore w:val="0"/>
        <w:widowControl w:val="0"/>
        <w:kinsoku/>
        <w:wordWrap/>
        <w:overflowPunct/>
        <w:topLinePunct w:val="0"/>
        <w:autoSpaceDE/>
        <w:autoSpaceDN/>
        <w:bidi w:val="0"/>
        <w:adjustRightInd/>
        <w:snapToGrid/>
        <w:spacing w:beforeAutospacing="0" w:afterAutospacing="0" w:line="500" w:lineRule="exact"/>
        <w:ind w:firstLine="468"/>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03A91BDE">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29、中标通知书</w:t>
      </w:r>
    </w:p>
    <w:p w14:paraId="3BFBC942">
      <w:pPr>
        <w:pStyle w:val="15"/>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29.l中标结果确定后，采购</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将向中标人发</w:t>
      </w:r>
      <w:r>
        <w:rPr>
          <w:rFonts w:hint="eastAsia" w:ascii="宋体" w:hAnsi="宋体" w:eastAsia="宋体" w:cs="宋体"/>
          <w:color w:val="auto"/>
          <w:sz w:val="21"/>
          <w:szCs w:val="21"/>
          <w:highlight w:val="none"/>
        </w:rPr>
        <w:t>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CC1F91B">
      <w:pPr>
        <w:pStyle w:val="15"/>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29.2中标通知书将是合同的一个组成部分。对采购人和中标人均具有法律</w:t>
      </w:r>
      <w:r>
        <w:rPr>
          <w:rFonts w:hint="eastAsia" w:ascii="宋体" w:hAnsi="宋体" w:eastAsia="宋体" w:cs="宋体"/>
          <w:color w:val="000000"/>
          <w:sz w:val="21"/>
          <w:szCs w:val="21"/>
          <w:highlight w:val="none"/>
        </w:rPr>
        <w:t>效力。中标通知书发出后，采购人改变中标结果的，或者中标人放弃中标项目的，应当依法承担法律责任。</w:t>
      </w:r>
    </w:p>
    <w:p w14:paraId="64DAAC83">
      <w:pPr>
        <w:pStyle w:val="15"/>
        <w:keepNext/>
        <w:keepLines/>
        <w:pageBreakBefore w:val="0"/>
        <w:widowControl w:val="0"/>
        <w:kinsoku/>
        <w:wordWrap/>
        <w:overflowPunct/>
        <w:topLinePunct w:val="0"/>
        <w:autoSpaceDE/>
        <w:autoSpaceDN/>
        <w:bidi w:val="0"/>
        <w:adjustRightInd/>
        <w:snapToGrid/>
        <w:spacing w:before="145" w:beforeAutospacing="0" w:after="145" w:afterAutospacing="0" w:line="500" w:lineRule="exact"/>
        <w:jc w:val="both"/>
        <w:textAlignment w:val="auto"/>
        <w:rPr>
          <w:rFonts w:hint="eastAsia" w:ascii="宋体" w:hAnsi="宋体" w:eastAsia="宋体" w:cs="宋体"/>
          <w:sz w:val="21"/>
          <w:szCs w:val="21"/>
          <w:highlight w:val="none"/>
        </w:rPr>
      </w:pPr>
      <w:bookmarkStart w:id="159" w:name="_Toc120614220"/>
      <w:bookmarkStart w:id="160" w:name="_Toc16938552"/>
      <w:bookmarkStart w:id="161" w:name="_Toc20823308"/>
      <w:bookmarkStart w:id="162" w:name="_Toc513029236"/>
      <w:r>
        <w:rPr>
          <w:rFonts w:hint="eastAsia" w:ascii="宋体" w:hAnsi="宋体" w:eastAsia="宋体" w:cs="宋体"/>
          <w:b/>
          <w:color w:val="000000"/>
          <w:sz w:val="21"/>
          <w:szCs w:val="21"/>
          <w:highlight w:val="none"/>
        </w:rPr>
        <w:t>七、授予合同</w:t>
      </w:r>
      <w:bookmarkEnd w:id="159"/>
      <w:bookmarkEnd w:id="160"/>
      <w:bookmarkEnd w:id="161"/>
      <w:bookmarkEnd w:id="162"/>
    </w:p>
    <w:p w14:paraId="6ACCED81">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sz w:val="21"/>
          <w:szCs w:val="21"/>
          <w:highlight w:val="none"/>
        </w:rPr>
      </w:pPr>
      <w:bookmarkStart w:id="163" w:name="_Toc513029237"/>
      <w:bookmarkStart w:id="164" w:name="_Toc16938553"/>
      <w:bookmarkStart w:id="165" w:name="_Toc20823309"/>
      <w:r>
        <w:rPr>
          <w:rFonts w:hint="eastAsia" w:ascii="宋体" w:hAnsi="宋体" w:eastAsia="宋体" w:cs="宋体"/>
          <w:color w:val="000000"/>
          <w:sz w:val="21"/>
          <w:szCs w:val="21"/>
          <w:highlight w:val="none"/>
        </w:rPr>
        <w:t>30.签订合同</w:t>
      </w:r>
      <w:bookmarkEnd w:id="163"/>
      <w:bookmarkEnd w:id="164"/>
      <w:bookmarkEnd w:id="165"/>
    </w:p>
    <w:p w14:paraId="49272DD0">
      <w:pPr>
        <w:pStyle w:val="15"/>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30.l中标人应当在中标通知书发出之日起三十日内，按照招标文件确定的事项与采购人签订政府采购合同。</w:t>
      </w:r>
    </w:p>
    <w:p w14:paraId="00518D93">
      <w:pPr>
        <w:pStyle w:val="15"/>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30.2招标文件、中标人的投标文件及招标过程中有关澄清、承诺文件均应作为合同附件。</w:t>
      </w:r>
    </w:p>
    <w:p w14:paraId="6C2608F8">
      <w:pPr>
        <w:pStyle w:val="15"/>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30.3签订合同后，</w:t>
      </w:r>
      <w:r>
        <w:rPr>
          <w:rFonts w:hint="eastAsia" w:ascii="宋体" w:hAnsi="宋体" w:eastAsia="宋体" w:cs="宋体"/>
          <w:i/>
          <w:color w:val="000000"/>
          <w:sz w:val="21"/>
          <w:szCs w:val="21"/>
          <w:highlight w:val="none"/>
          <w:u w:val="single"/>
        </w:rPr>
        <w:t>中标人不得将合同标的进行转包</w:t>
      </w:r>
      <w:r>
        <w:rPr>
          <w:rFonts w:hint="eastAsia" w:ascii="宋体" w:hAnsi="宋体" w:eastAsia="宋体" w:cs="宋体"/>
          <w:color w:val="000000"/>
          <w:sz w:val="21"/>
          <w:szCs w:val="21"/>
          <w:highlight w:val="none"/>
        </w:rPr>
        <w:t>。未经采购人同意，中标人也不得采用分包的形式履行合同，否则采购人有权终止合同。转包或分包造成采购人损失的，中标人应承担相应赔偿责任。</w:t>
      </w:r>
    </w:p>
    <w:p w14:paraId="77BCD65A">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31、服务（包含与服务相关的货物）的追加</w:t>
      </w:r>
    </w:p>
    <w:p w14:paraId="3B7551AE">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20EEBF9">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32.政府采购政策功能落实</w:t>
      </w:r>
    </w:p>
    <w:p w14:paraId="3EA2C724">
      <w:pPr>
        <w:pStyle w:val="15"/>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32.1</w:t>
      </w:r>
      <w:r>
        <w:rPr>
          <w:rFonts w:hint="eastAsia" w:ascii="宋体" w:hAnsi="宋体" w:eastAsia="宋体" w:cs="宋体"/>
          <w:color w:val="000000"/>
          <w:sz w:val="21"/>
          <w:szCs w:val="21"/>
          <w:highlight w:val="none"/>
        </w:rPr>
        <w:t>政府采购</w:t>
      </w:r>
      <w:r>
        <w:rPr>
          <w:rFonts w:hint="eastAsia" w:ascii="宋体" w:hAnsi="宋体" w:eastAsia="宋体" w:cs="宋体"/>
          <w:color w:val="000000"/>
          <w:sz w:val="21"/>
          <w:szCs w:val="21"/>
          <w:highlight w:val="none"/>
          <w:lang w:eastAsia="zh-CN"/>
        </w:rPr>
        <w:t>线上合同信用融资</w:t>
      </w:r>
      <w:r>
        <w:rPr>
          <w:rFonts w:hint="eastAsia" w:ascii="宋体" w:hAnsi="宋体" w:eastAsia="宋体" w:cs="宋体"/>
          <w:color w:val="000000"/>
          <w:sz w:val="21"/>
          <w:szCs w:val="21"/>
          <w:highlight w:val="none"/>
        </w:rPr>
        <w:t>政策</w:t>
      </w:r>
    </w:p>
    <w:p w14:paraId="7831DEFD">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1"/>
          <w:szCs w:val="21"/>
          <w:highlight w:val="none"/>
          <w:lang w:val="en-US" w:eastAsia="zh-CN"/>
        </w:rPr>
        <w:t>江苏省</w:t>
      </w:r>
      <w:r>
        <w:rPr>
          <w:rFonts w:hint="eastAsia" w:ascii="宋体" w:hAnsi="宋体" w:eastAsia="宋体" w:cs="宋体"/>
          <w:color w:val="000000"/>
          <w:sz w:val="21"/>
          <w:szCs w:val="21"/>
          <w:highlight w:val="none"/>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32.2进口产品</w:t>
      </w:r>
    </w:p>
    <w:p w14:paraId="5E25FDB5">
      <w:pPr>
        <w:pStyle w:val="15"/>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进口产品</w:t>
      </w:r>
      <w:r>
        <w:rPr>
          <w:rFonts w:hint="eastAsia" w:ascii="宋体" w:hAnsi="宋体" w:eastAsia="宋体" w:cs="宋体"/>
          <w:color w:val="000000"/>
          <w:sz w:val="21"/>
          <w:szCs w:val="21"/>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FAF7896">
      <w:pPr>
        <w:tabs>
          <w:tab w:val="left" w:pos="1381"/>
        </w:tabs>
        <w:spacing w:line="450" w:lineRule="exact"/>
        <w:ind w:firstLine="367" w:firstLineChars="175"/>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32.3中小企业、监狱企业及残疾人福利性单位</w:t>
      </w:r>
    </w:p>
    <w:p w14:paraId="6CC8198B">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32.3.1中小企业定义：</w:t>
      </w:r>
    </w:p>
    <w:p w14:paraId="735182E5">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79AA35A1">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32.3.2供应商提供的货物、工程或者服务符合下列情形的，享受中小企业扶持政策：</w:t>
      </w:r>
    </w:p>
    <w:p w14:paraId="7D20A5D2">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32.3.2.1在货物采购项目中，货物由中小企业制造，即货物由中小企业生产且使用该中小企业商号或者注册商标；</w:t>
      </w:r>
    </w:p>
    <w:p w14:paraId="2264BD55">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32.3.2.2在工程采购项目中，工程由中小企业承建，即工程施工单位为中小企业；</w:t>
      </w:r>
    </w:p>
    <w:p w14:paraId="679C22E6">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32.3.2.3在服务采购项目中，服务由中小企业承接，即提供服务的人员为中小企业依照《中华人民共和国劳动合同法》订立劳动合同的从业人员。</w:t>
      </w:r>
    </w:p>
    <w:p w14:paraId="53ABB26A">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32.3.3在货物采购项目中，供应商提供的货物既有中小企业制造货物，也有大型企业制造货物的，不享受中小企业扶持政策。</w:t>
      </w:r>
    </w:p>
    <w:p w14:paraId="336222B6">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32.3.4以联合体形式参加政府采购活动，联合体各方均为中小企业的，联合体视同中小企业。其中，联合体各方均为小微企业的，联合体视同小微企业。</w:t>
      </w:r>
    </w:p>
    <w:p w14:paraId="54E4C704">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3FDBC3">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32.3.6残疾人福利单位定义：享受政府采购支持政策的残疾人福利性单位应当同时满足以下条件：</w:t>
      </w:r>
    </w:p>
    <w:p w14:paraId="7E5541F3">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32.3.6.1安置的残疾人占本单位在职职工人数的比例不低于25%（含25%），并且安置的残疾人人数不少于10人（含10人）；</w:t>
      </w:r>
    </w:p>
    <w:p w14:paraId="28C3C101">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32.3.6.2依法与安置的每位残疾人签订了一年以上（含一年）的劳动合同或服务协议；</w:t>
      </w:r>
    </w:p>
    <w:p w14:paraId="75FFF148">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32.3.6.3为安置的每位残疾人按月足额缴纳了基本养老保险、基本医疗保险、失业保险、工伤保险和生育保险等社会保险费；</w:t>
      </w:r>
    </w:p>
    <w:p w14:paraId="7DD98769">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32.3.6.4通过银行等金融机构向安置的每位残疾人，按月支付了不低于单位所在区县适用的经省级人民政府批准的月最低工资标准的工资；</w:t>
      </w:r>
    </w:p>
    <w:p w14:paraId="6A41163C">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32.3.6.5提供本单位制造的货物、承担的工程或者服务（以下简称产品），或者提供其他残疾人福利性单位制造的货物（不包括使用非残疾人福利性单位注册商标的货物）；</w:t>
      </w:r>
    </w:p>
    <w:p w14:paraId="7206BB94">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7409F9B5">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32.3.7本项目是否专门面向中小企业预留采购份额见第一章《</w:t>
      </w:r>
      <w:r>
        <w:rPr>
          <w:rFonts w:hint="eastAsia" w:ascii="宋体" w:hAnsi="宋体" w:eastAsia="宋体" w:cs="宋体"/>
          <w:sz w:val="21"/>
          <w:szCs w:val="21"/>
        </w:rPr>
        <w:t>招标公告</w:t>
      </w:r>
      <w:r>
        <w:rPr>
          <w:rFonts w:hint="eastAsia" w:ascii="宋体" w:hAnsi="宋体" w:eastAsia="宋体" w:cs="宋体"/>
          <w:color w:val="000000"/>
          <w:sz w:val="21"/>
          <w:szCs w:val="21"/>
        </w:rPr>
        <w:t>》。</w:t>
      </w:r>
    </w:p>
    <w:p w14:paraId="05D40310">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32.3.8采购标的对应的中小企业划分标准所属行业为</w:t>
      </w:r>
      <w:r>
        <w:rPr>
          <w:rFonts w:hint="eastAsia" w:ascii="宋体" w:hAnsi="宋体" w:eastAsia="宋体" w:cs="宋体"/>
          <w:b/>
          <w:bCs/>
          <w:color w:val="000000"/>
          <w:sz w:val="21"/>
          <w:szCs w:val="21"/>
          <w:highlight w:val="none"/>
          <w:u w:val="single"/>
        </w:rPr>
        <w:t>其他未列明行业</w:t>
      </w:r>
      <w:r>
        <w:rPr>
          <w:rFonts w:hint="eastAsia" w:ascii="宋体" w:hAnsi="宋体" w:eastAsia="宋体" w:cs="宋体"/>
          <w:color w:val="000000"/>
          <w:sz w:val="21"/>
          <w:szCs w:val="21"/>
        </w:rPr>
        <w:t>。</w:t>
      </w:r>
    </w:p>
    <w:p w14:paraId="5B03F588">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32.3.9小微企业价格评审优惠的政策：见第五章《评标方法和评标标准》。</w:t>
      </w:r>
    </w:p>
    <w:p w14:paraId="2FDC5B5B">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32.4政府采购节能产品、环境标志产品</w:t>
      </w:r>
    </w:p>
    <w:p w14:paraId="13513E04">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2D68EDB">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F9DB0FE">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32.5绿色包装</w:t>
      </w:r>
    </w:p>
    <w:p w14:paraId="71D241C1">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14BD884">
      <w:pPr>
        <w:tabs>
          <w:tab w:val="left" w:pos="1381"/>
        </w:tabs>
        <w:spacing w:line="450" w:lineRule="exact"/>
        <w:ind w:firstLine="367" w:firstLineChars="175"/>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32.6政府采购创新产品</w:t>
      </w:r>
    </w:p>
    <w:p w14:paraId="15FE7BA2">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采购人优先采购各级政府部门公开发布的有效期内的创新产品、创新服务、首台套、首购首用等《目录》的创新产品。</w:t>
      </w:r>
    </w:p>
    <w:p w14:paraId="0AC06249">
      <w:pPr>
        <w:tabs>
          <w:tab w:val="left" w:pos="1381"/>
        </w:tabs>
        <w:spacing w:line="450" w:lineRule="exact"/>
        <w:ind w:firstLine="367" w:firstLineChars="175"/>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32.7绿色数据中心政策</w:t>
      </w:r>
    </w:p>
    <w:p w14:paraId="4667D135">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3D49DBA">
      <w:pPr>
        <w:tabs>
          <w:tab w:val="left" w:pos="1381"/>
        </w:tabs>
        <w:spacing w:line="450" w:lineRule="exact"/>
        <w:ind w:firstLine="367" w:firstLineChars="175"/>
        <w:jc w:val="left"/>
        <w:rPr>
          <w:rFonts w:hint="eastAsia" w:ascii="宋体" w:hAnsi="宋体" w:eastAsia="宋体" w:cs="宋体"/>
          <w:color w:val="000000"/>
          <w:kern w:val="0"/>
          <w:sz w:val="21"/>
          <w:szCs w:val="21"/>
        </w:rPr>
      </w:pPr>
      <w:r>
        <w:rPr>
          <w:rFonts w:hint="eastAsia" w:ascii="宋体" w:hAnsi="宋体" w:eastAsia="宋体" w:cs="宋体"/>
          <w:kern w:val="0"/>
          <w:sz w:val="21"/>
          <w:szCs w:val="21"/>
        </w:rPr>
        <w:t>32.8</w:t>
      </w:r>
      <w:r>
        <w:rPr>
          <w:rFonts w:hint="eastAsia" w:ascii="宋体" w:hAnsi="宋体" w:eastAsia="宋体" w:cs="宋体"/>
          <w:color w:val="000000"/>
          <w:kern w:val="0"/>
          <w:sz w:val="21"/>
          <w:szCs w:val="21"/>
        </w:rPr>
        <w:t>履约保证金政策</w:t>
      </w:r>
    </w:p>
    <w:p w14:paraId="0F7FCD13">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确需收取履约保证金的，履约保证金的缴纳形式：</w:t>
      </w:r>
    </w:p>
    <w:p w14:paraId="234A0353">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FDFA79F">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如以履约保函（保险）形式缴纳履约保证金，供应商可通过政府采购电子履约保函（保险）平台（www.jsdzbh.com）在线申请履约保函（保险）。</w:t>
      </w:r>
    </w:p>
    <w:p w14:paraId="210403E1">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w:t>
      </w:r>
    </w:p>
    <w:p w14:paraId="2BC3CBF1">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33.预付款制度</w:t>
      </w:r>
    </w:p>
    <w:p w14:paraId="0B099625">
      <w:pPr>
        <w:pStyle w:val="15"/>
        <w:spacing w:beforeAutospacing="0" w:afterAutospacing="0" w:line="450" w:lineRule="exact"/>
        <w:ind w:firstLine="367" w:firstLineChars="175"/>
        <w:rPr>
          <w:rFonts w:hint="eastAsia" w:ascii="宋体" w:hAnsi="宋体" w:eastAsia="宋体" w:cs="宋体"/>
          <w:color w:val="000000"/>
          <w:sz w:val="21"/>
          <w:szCs w:val="21"/>
        </w:rPr>
      </w:pPr>
      <w:r>
        <w:rPr>
          <w:rFonts w:hint="eastAsia" w:ascii="宋体" w:hAnsi="宋体" w:eastAsia="宋体" w:cs="宋体"/>
          <w:color w:val="000000"/>
          <w:sz w:val="21"/>
          <w:szCs w:val="21"/>
        </w:rPr>
        <w:t>本项目落实预付款制度，预付款比例为</w:t>
      </w:r>
      <w:r>
        <w:rPr>
          <w:rFonts w:hint="eastAsia" w:ascii="宋体" w:hAnsi="宋体" w:eastAsia="宋体" w:cs="宋体"/>
          <w:color w:val="000000"/>
          <w:sz w:val="21"/>
          <w:szCs w:val="21"/>
          <w:u w:val="single"/>
          <w:lang w:eastAsia="zh-CN"/>
        </w:rPr>
        <w:t>10%</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待区财政资金到位后再拨付预付款</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。在签订合同时，中标、成交供应商明确书面表示无需预付款或者主动要求降低预付款比例的，采购人可就预付款比例作相应调整。</w:t>
      </w:r>
    </w:p>
    <w:p w14:paraId="127A6DC7">
      <w:pPr>
        <w:pStyle w:val="1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51C17039">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0D5A4711">
      <w:pPr>
        <w:jc w:val="center"/>
        <w:rPr>
          <w:rFonts w:hint="eastAsia" w:ascii="宋体" w:hAnsi="宋体" w:eastAsia="宋体" w:cs="宋体"/>
          <w:sz w:val="36"/>
          <w:szCs w:val="36"/>
          <w:highlight w:val="none"/>
        </w:rPr>
      </w:pPr>
      <w:r>
        <w:rPr>
          <w:rFonts w:hint="eastAsia" w:ascii="宋体" w:hAnsi="宋体" w:eastAsia="宋体" w:cs="宋体"/>
          <w:color w:val="000000"/>
          <w:sz w:val="36"/>
          <w:szCs w:val="36"/>
          <w:highlight w:val="none"/>
        </w:rPr>
        <w:t>第三章  合同文本</w:t>
      </w:r>
    </w:p>
    <w:p w14:paraId="6DDBFADB">
      <w:pPr>
        <w:pStyle w:val="2"/>
        <w:ind w:left="0" w:leftChars="0" w:firstLine="0" w:firstLineChars="0"/>
        <w:jc w:val="center"/>
        <w:rPr>
          <w:rFonts w:hint="eastAsia" w:ascii="宋体" w:hAnsi="宋体" w:eastAsia="宋体"/>
          <w:b/>
          <w:color w:val="auto"/>
          <w:sz w:val="48"/>
          <w:szCs w:val="48"/>
          <w:lang w:val="en-US" w:eastAsia="zh-CN"/>
        </w:rPr>
      </w:pPr>
      <w:r>
        <w:rPr>
          <w:rFonts w:hint="eastAsia" w:ascii="宋体" w:hAnsi="宋体" w:eastAsia="宋体"/>
          <w:b/>
          <w:color w:val="auto"/>
          <w:sz w:val="48"/>
          <w:szCs w:val="48"/>
          <w:lang w:val="en-US" w:eastAsia="zh-CN"/>
        </w:rPr>
        <w:t>万盈镇（原万盈镇、原沈灶镇）第二轮土地承包到期后再延长30年试点技术服务项目</w:t>
      </w:r>
    </w:p>
    <w:p w14:paraId="36618AE5">
      <w:pPr>
        <w:pStyle w:val="2"/>
        <w:ind w:left="0" w:leftChars="0" w:firstLine="0" w:firstLineChars="0"/>
        <w:jc w:val="center"/>
        <w:rPr>
          <w:rFonts w:hint="eastAsia" w:ascii="宋体" w:hAnsi="宋体" w:eastAsia="宋体"/>
          <w:b/>
          <w:color w:val="auto"/>
          <w:sz w:val="48"/>
          <w:szCs w:val="48"/>
          <w:lang w:val="en-US" w:eastAsia="zh-CN"/>
        </w:rPr>
      </w:pPr>
    </w:p>
    <w:p w14:paraId="2D13226B">
      <w:pPr>
        <w:pStyle w:val="2"/>
        <w:ind w:left="0" w:leftChars="0" w:firstLine="0" w:firstLineChars="0"/>
        <w:rPr>
          <w:rFonts w:hint="eastAsia" w:ascii="宋体" w:hAnsi="宋体" w:eastAsia="宋体"/>
          <w:b/>
          <w:color w:val="auto"/>
          <w:sz w:val="48"/>
          <w:szCs w:val="48"/>
          <w:lang w:val="en-US" w:eastAsia="zh-CN"/>
        </w:rPr>
      </w:pPr>
    </w:p>
    <w:p w14:paraId="0B061E31">
      <w:pPr>
        <w:pStyle w:val="2"/>
        <w:ind w:left="0" w:leftChars="0" w:firstLine="0" w:firstLineChars="0"/>
        <w:rPr>
          <w:rFonts w:hint="eastAsia" w:ascii="宋体" w:hAnsi="宋体" w:eastAsia="宋体"/>
          <w:b/>
          <w:color w:val="auto"/>
          <w:sz w:val="48"/>
          <w:szCs w:val="48"/>
          <w:lang w:val="en-US" w:eastAsia="zh-CN"/>
        </w:rPr>
      </w:pPr>
    </w:p>
    <w:p w14:paraId="7454B565">
      <w:pPr>
        <w:keepNext w:val="0"/>
        <w:keepLines w:val="0"/>
        <w:pageBreakBefore w:val="0"/>
        <w:widowControl w:val="0"/>
        <w:kinsoku/>
        <w:wordWrap/>
        <w:overflowPunct/>
        <w:topLinePunct w:val="0"/>
        <w:autoSpaceDE/>
        <w:autoSpaceDN/>
        <w:bidi w:val="0"/>
        <w:adjustRightInd/>
        <w:snapToGrid/>
        <w:spacing w:line="900" w:lineRule="exact"/>
        <w:ind w:firstLine="723" w:firstLineChars="100"/>
        <w:jc w:val="center"/>
        <w:textAlignment w:val="auto"/>
        <w:rPr>
          <w:rFonts w:hint="eastAsia" w:ascii="宋体" w:hAnsi="宋体"/>
          <w:b/>
          <w:color w:val="auto"/>
          <w:sz w:val="72"/>
          <w:szCs w:val="72"/>
          <w:lang w:val="en-US" w:eastAsia="zh-CN"/>
        </w:rPr>
      </w:pPr>
      <w:r>
        <w:rPr>
          <w:rFonts w:hint="eastAsia" w:ascii="宋体" w:hAnsi="宋体"/>
          <w:b/>
          <w:color w:val="auto"/>
          <w:sz w:val="72"/>
          <w:szCs w:val="72"/>
          <w:lang w:val="en-US" w:eastAsia="zh-CN"/>
        </w:rPr>
        <w:t>服</w:t>
      </w:r>
    </w:p>
    <w:p w14:paraId="7DE9DDDF">
      <w:pPr>
        <w:keepNext w:val="0"/>
        <w:keepLines w:val="0"/>
        <w:pageBreakBefore w:val="0"/>
        <w:widowControl w:val="0"/>
        <w:kinsoku/>
        <w:wordWrap/>
        <w:overflowPunct/>
        <w:topLinePunct w:val="0"/>
        <w:autoSpaceDE/>
        <w:autoSpaceDN/>
        <w:bidi w:val="0"/>
        <w:adjustRightInd/>
        <w:snapToGrid/>
        <w:spacing w:line="900" w:lineRule="exact"/>
        <w:ind w:firstLine="723" w:firstLineChars="100"/>
        <w:jc w:val="center"/>
        <w:textAlignment w:val="auto"/>
        <w:rPr>
          <w:rFonts w:hint="eastAsia" w:ascii="宋体" w:hAnsi="宋体"/>
          <w:b/>
          <w:color w:val="auto"/>
          <w:sz w:val="72"/>
          <w:szCs w:val="72"/>
          <w:lang w:val="en-US" w:eastAsia="zh-CN"/>
        </w:rPr>
      </w:pPr>
      <w:r>
        <w:rPr>
          <w:rFonts w:hint="eastAsia" w:ascii="宋体" w:hAnsi="宋体"/>
          <w:b/>
          <w:color w:val="auto"/>
          <w:sz w:val="72"/>
          <w:szCs w:val="72"/>
          <w:lang w:val="en-US" w:eastAsia="zh-CN"/>
        </w:rPr>
        <w:t>务</w:t>
      </w:r>
    </w:p>
    <w:p w14:paraId="3182DEF4">
      <w:pPr>
        <w:keepNext w:val="0"/>
        <w:keepLines w:val="0"/>
        <w:pageBreakBefore w:val="0"/>
        <w:widowControl w:val="0"/>
        <w:kinsoku/>
        <w:wordWrap/>
        <w:overflowPunct/>
        <w:topLinePunct w:val="0"/>
        <w:autoSpaceDE/>
        <w:autoSpaceDN/>
        <w:bidi w:val="0"/>
        <w:adjustRightInd/>
        <w:snapToGrid/>
        <w:spacing w:line="900" w:lineRule="exact"/>
        <w:ind w:firstLine="723" w:firstLineChars="100"/>
        <w:jc w:val="center"/>
        <w:textAlignment w:val="auto"/>
        <w:rPr>
          <w:rFonts w:hint="eastAsia" w:ascii="宋体" w:hAnsi="宋体"/>
          <w:b/>
          <w:color w:val="auto"/>
          <w:sz w:val="72"/>
          <w:szCs w:val="72"/>
          <w:lang w:val="en-US" w:eastAsia="zh-CN"/>
        </w:rPr>
      </w:pPr>
      <w:r>
        <w:rPr>
          <w:rFonts w:hint="eastAsia" w:ascii="宋体" w:hAnsi="宋体"/>
          <w:b/>
          <w:color w:val="auto"/>
          <w:sz w:val="72"/>
          <w:szCs w:val="72"/>
          <w:lang w:val="en-US" w:eastAsia="zh-CN"/>
        </w:rPr>
        <w:t>合</w:t>
      </w:r>
    </w:p>
    <w:p w14:paraId="2E0ABA77">
      <w:pPr>
        <w:keepNext w:val="0"/>
        <w:keepLines w:val="0"/>
        <w:pageBreakBefore w:val="0"/>
        <w:widowControl w:val="0"/>
        <w:kinsoku/>
        <w:wordWrap/>
        <w:overflowPunct/>
        <w:topLinePunct w:val="0"/>
        <w:autoSpaceDE/>
        <w:autoSpaceDN/>
        <w:bidi w:val="0"/>
        <w:adjustRightInd/>
        <w:snapToGrid/>
        <w:spacing w:line="900" w:lineRule="exact"/>
        <w:ind w:firstLine="723" w:firstLineChars="100"/>
        <w:jc w:val="center"/>
        <w:textAlignment w:val="auto"/>
        <w:rPr>
          <w:rFonts w:hint="eastAsia" w:ascii="宋体" w:hAnsi="宋体"/>
          <w:b/>
          <w:color w:val="auto"/>
          <w:sz w:val="72"/>
          <w:szCs w:val="72"/>
          <w:lang w:val="en-US" w:eastAsia="zh-CN"/>
        </w:rPr>
      </w:pPr>
      <w:r>
        <w:rPr>
          <w:rFonts w:hint="eastAsia" w:ascii="宋体" w:hAnsi="宋体"/>
          <w:b/>
          <w:color w:val="auto"/>
          <w:sz w:val="72"/>
          <w:szCs w:val="72"/>
          <w:lang w:val="en-US" w:eastAsia="zh-CN"/>
        </w:rPr>
        <w:t>同</w:t>
      </w:r>
    </w:p>
    <w:p w14:paraId="06ECF74B">
      <w:pPr>
        <w:keepNext w:val="0"/>
        <w:keepLines w:val="0"/>
        <w:pageBreakBefore w:val="0"/>
        <w:widowControl w:val="0"/>
        <w:kinsoku/>
        <w:wordWrap/>
        <w:overflowPunct/>
        <w:topLinePunct w:val="0"/>
        <w:autoSpaceDE/>
        <w:autoSpaceDN/>
        <w:bidi w:val="0"/>
        <w:adjustRightInd/>
        <w:snapToGrid/>
        <w:spacing w:line="900" w:lineRule="exact"/>
        <w:ind w:firstLine="723" w:firstLineChars="100"/>
        <w:jc w:val="center"/>
        <w:textAlignment w:val="auto"/>
        <w:rPr>
          <w:rFonts w:hint="eastAsia" w:ascii="宋体" w:hAnsi="宋体"/>
          <w:b/>
          <w:color w:val="auto"/>
          <w:sz w:val="72"/>
          <w:szCs w:val="72"/>
          <w:lang w:val="en-US" w:eastAsia="zh-CN"/>
        </w:rPr>
      </w:pPr>
      <w:r>
        <w:rPr>
          <w:rFonts w:hint="eastAsia" w:ascii="宋体" w:hAnsi="宋体"/>
          <w:b/>
          <w:color w:val="auto"/>
          <w:sz w:val="72"/>
          <w:szCs w:val="72"/>
          <w:lang w:val="en-US" w:eastAsia="zh-CN"/>
        </w:rPr>
        <w:t>书</w:t>
      </w:r>
    </w:p>
    <w:p w14:paraId="77F2AA84">
      <w:pPr>
        <w:pStyle w:val="2"/>
        <w:rPr>
          <w:rFonts w:hint="eastAsia" w:ascii="宋体" w:hAnsi="宋体"/>
          <w:b/>
          <w:color w:val="auto"/>
          <w:sz w:val="72"/>
          <w:szCs w:val="72"/>
          <w:lang w:val="en-US" w:eastAsia="zh-CN"/>
        </w:rPr>
      </w:pPr>
    </w:p>
    <w:p w14:paraId="0E1075CC">
      <w:pPr>
        <w:pStyle w:val="2"/>
        <w:rPr>
          <w:rFonts w:hint="eastAsia" w:ascii="宋体" w:hAnsi="宋体"/>
          <w:b/>
          <w:color w:val="auto"/>
          <w:sz w:val="72"/>
          <w:szCs w:val="72"/>
          <w:lang w:val="en-US" w:eastAsia="zh-CN"/>
        </w:rPr>
      </w:pPr>
    </w:p>
    <w:p w14:paraId="3F38F51A">
      <w:pPr>
        <w:pStyle w:val="2"/>
        <w:rPr>
          <w:rFonts w:hint="eastAsia" w:ascii="宋体" w:hAnsi="宋体"/>
          <w:b/>
          <w:color w:val="auto"/>
          <w:sz w:val="72"/>
          <w:szCs w:val="72"/>
          <w:lang w:val="en-US" w:eastAsia="zh-CN"/>
        </w:rPr>
      </w:pPr>
    </w:p>
    <w:p w14:paraId="74A1B4EA">
      <w:pPr>
        <w:keepNext w:val="0"/>
        <w:keepLines w:val="0"/>
        <w:pageBreakBefore w:val="0"/>
        <w:widowControl w:val="0"/>
        <w:kinsoku/>
        <w:wordWrap/>
        <w:overflowPunct/>
        <w:topLinePunct w:val="0"/>
        <w:autoSpaceDE/>
        <w:autoSpaceDN/>
        <w:bidi w:val="0"/>
        <w:adjustRightInd/>
        <w:spacing w:line="480" w:lineRule="auto"/>
        <w:ind w:firstLine="707" w:firstLineChars="200"/>
        <w:textAlignment w:val="auto"/>
        <w:rPr>
          <w:rFonts w:hint="eastAsia" w:ascii="宋体" w:hAnsi="宋体" w:eastAsia="宋体"/>
          <w:b/>
          <w:color w:val="auto"/>
          <w:sz w:val="32"/>
          <w:szCs w:val="32"/>
          <w:u w:val="single"/>
          <w:lang w:val="en-US" w:eastAsia="zh-CN"/>
        </w:rPr>
      </w:pPr>
      <w:r>
        <w:rPr>
          <w:rFonts w:hint="eastAsia" w:ascii="宋体" w:hAnsi="宋体"/>
          <w:b/>
          <w:color w:val="auto"/>
          <w:spacing w:val="16"/>
          <w:sz w:val="32"/>
          <w:szCs w:val="32"/>
          <w:lang w:val="en-US" w:eastAsia="zh-CN"/>
        </w:rPr>
        <w:t>甲方：（采购人）</w:t>
      </w:r>
      <w:r>
        <w:rPr>
          <w:rFonts w:hint="eastAsia" w:ascii="宋体" w:hAnsi="宋体"/>
          <w:b/>
          <w:color w:val="auto"/>
          <w:sz w:val="32"/>
          <w:szCs w:val="32"/>
          <w:u w:val="single"/>
          <w:lang w:val="en-US" w:eastAsia="zh-CN"/>
        </w:rPr>
        <w:t xml:space="preserve">   盐城市大丰区万盈镇人民政府</w:t>
      </w:r>
      <w:r>
        <w:rPr>
          <w:rFonts w:hint="eastAsia" w:ascii="宋体" w:hAnsi="宋体"/>
          <w:b/>
          <w:color w:val="auto"/>
          <w:spacing w:val="-20"/>
          <w:sz w:val="32"/>
          <w:szCs w:val="32"/>
          <w:u w:val="single"/>
          <w:lang w:val="en-US" w:eastAsia="zh-CN"/>
        </w:rPr>
        <w:t xml:space="preserve">    </w:t>
      </w:r>
    </w:p>
    <w:p w14:paraId="3F68987B">
      <w:pPr>
        <w:keepNext w:val="0"/>
        <w:keepLines w:val="0"/>
        <w:pageBreakBefore w:val="0"/>
        <w:widowControl w:val="0"/>
        <w:kinsoku/>
        <w:wordWrap/>
        <w:overflowPunct/>
        <w:topLinePunct w:val="0"/>
        <w:autoSpaceDE/>
        <w:autoSpaceDN/>
        <w:bidi w:val="0"/>
        <w:adjustRightInd/>
        <w:spacing w:line="480" w:lineRule="auto"/>
        <w:ind w:firstLine="707" w:firstLineChars="200"/>
        <w:textAlignment w:val="auto"/>
        <w:rPr>
          <w:rFonts w:hint="eastAsia" w:ascii="宋体" w:hAnsi="宋体"/>
          <w:b/>
          <w:color w:val="auto"/>
          <w:spacing w:val="-20"/>
          <w:sz w:val="32"/>
          <w:szCs w:val="32"/>
          <w:u w:val="single"/>
        </w:rPr>
      </w:pPr>
      <w:r>
        <w:rPr>
          <w:rFonts w:hint="eastAsia" w:ascii="宋体" w:hAnsi="宋体"/>
          <w:b/>
          <w:color w:val="auto"/>
          <w:spacing w:val="16"/>
          <w:sz w:val="32"/>
          <w:szCs w:val="32"/>
          <w:lang w:val="en-US" w:eastAsia="zh-CN"/>
        </w:rPr>
        <w:t>乙方：（供应商）</w:t>
      </w:r>
      <w:r>
        <w:rPr>
          <w:rFonts w:hint="eastAsia" w:ascii="宋体" w:hAnsi="宋体"/>
          <w:b/>
          <w:color w:val="auto"/>
          <w:spacing w:val="-20"/>
          <w:sz w:val="32"/>
          <w:szCs w:val="32"/>
          <w:u w:val="single"/>
          <w:lang w:val="en-US" w:eastAsia="zh-CN"/>
        </w:rPr>
        <w:t xml:space="preserve">                                           </w:t>
      </w:r>
    </w:p>
    <w:p w14:paraId="788C2E47">
      <w:pPr>
        <w:keepNext w:val="0"/>
        <w:keepLines w:val="0"/>
        <w:pageBreakBefore w:val="0"/>
        <w:widowControl w:val="0"/>
        <w:kinsoku/>
        <w:wordWrap/>
        <w:overflowPunct/>
        <w:topLinePunct w:val="0"/>
        <w:autoSpaceDE/>
        <w:autoSpaceDN/>
        <w:bidi w:val="0"/>
        <w:adjustRightInd/>
        <w:spacing w:after="156" w:afterLines="50" w:line="480" w:lineRule="auto"/>
        <w:ind w:firstLine="643" w:firstLineChars="200"/>
        <w:textAlignment w:val="auto"/>
        <w:rPr>
          <w:rFonts w:hint="eastAsia" w:ascii="宋体" w:hAnsi="宋体" w:cs="宋体"/>
          <w:b/>
          <w:bCs/>
          <w:color w:val="auto"/>
          <w:kern w:val="0"/>
          <w:sz w:val="40"/>
          <w:szCs w:val="22"/>
        </w:rPr>
      </w:pPr>
      <w:r>
        <w:rPr>
          <w:rFonts w:hint="eastAsia" w:ascii="宋体" w:hAnsi="宋体"/>
          <w:b/>
          <w:color w:val="auto"/>
          <w:sz w:val="32"/>
          <w:szCs w:val="22"/>
        </w:rPr>
        <w:t xml:space="preserve">日 </w:t>
      </w:r>
      <w:r>
        <w:rPr>
          <w:rFonts w:hint="eastAsia" w:ascii="宋体" w:hAnsi="宋体"/>
          <w:b/>
          <w:color w:val="auto"/>
          <w:sz w:val="32"/>
          <w:szCs w:val="22"/>
          <w:lang w:val="en-US" w:eastAsia="zh-CN"/>
        </w:rPr>
        <w:t xml:space="preserve">      </w:t>
      </w:r>
      <w:r>
        <w:rPr>
          <w:rFonts w:hint="eastAsia" w:ascii="宋体" w:hAnsi="宋体"/>
          <w:b/>
          <w:color w:val="auto"/>
          <w:sz w:val="32"/>
          <w:szCs w:val="22"/>
        </w:rPr>
        <w:t xml:space="preserve"> </w:t>
      </w:r>
      <w:r>
        <w:rPr>
          <w:rFonts w:hint="eastAsia" w:ascii="宋体" w:hAnsi="宋体"/>
          <w:b/>
          <w:color w:val="auto"/>
          <w:sz w:val="32"/>
          <w:szCs w:val="22"/>
          <w:lang w:val="en-US" w:eastAsia="zh-CN"/>
        </w:rPr>
        <w:t xml:space="preserve">  </w:t>
      </w:r>
      <w:r>
        <w:rPr>
          <w:rFonts w:hint="eastAsia" w:ascii="宋体" w:hAnsi="宋体"/>
          <w:b/>
          <w:color w:val="auto"/>
          <w:sz w:val="32"/>
          <w:szCs w:val="22"/>
        </w:rPr>
        <w:t xml:space="preserve"> 期：</w:t>
      </w:r>
      <w:r>
        <w:rPr>
          <w:rFonts w:hint="eastAsia" w:ascii="宋体" w:hAnsi="宋体"/>
          <w:b/>
          <w:color w:val="auto"/>
          <w:sz w:val="32"/>
          <w:szCs w:val="22"/>
          <w:lang w:val="en-US" w:eastAsia="zh-CN"/>
        </w:rPr>
        <w:t xml:space="preserve"> </w:t>
      </w:r>
      <w:r>
        <w:rPr>
          <w:rFonts w:hint="eastAsia" w:ascii="宋体" w:hAnsi="宋体"/>
          <w:b/>
          <w:color w:val="auto"/>
          <w:sz w:val="32"/>
          <w:szCs w:val="22"/>
          <w:u w:val="single"/>
        </w:rPr>
        <w:t xml:space="preserve">     </w:t>
      </w:r>
      <w:r>
        <w:rPr>
          <w:rFonts w:hint="eastAsia" w:ascii="宋体" w:hAnsi="宋体"/>
          <w:b/>
          <w:color w:val="auto"/>
          <w:sz w:val="32"/>
          <w:szCs w:val="22"/>
          <w:u w:val="single"/>
          <w:lang w:val="en-US" w:eastAsia="zh-CN"/>
        </w:rPr>
        <w:t xml:space="preserve">   </w:t>
      </w:r>
      <w:r>
        <w:rPr>
          <w:rFonts w:hint="eastAsia" w:ascii="宋体" w:hAnsi="宋体"/>
          <w:b/>
          <w:color w:val="auto"/>
          <w:sz w:val="32"/>
          <w:szCs w:val="22"/>
          <w:u w:val="single"/>
          <w:lang w:eastAsia="zh-CN"/>
        </w:rPr>
        <w:t>二</w:t>
      </w:r>
      <w:r>
        <w:rPr>
          <w:rFonts w:hint="eastAsia" w:ascii="宋体" w:hAnsi="宋体"/>
          <w:b/>
          <w:color w:val="auto"/>
          <w:sz w:val="32"/>
          <w:szCs w:val="22"/>
          <w:u w:val="single"/>
        </w:rPr>
        <w:t>〇</w:t>
      </w:r>
      <w:r>
        <w:rPr>
          <w:rFonts w:hint="eastAsia" w:ascii="宋体" w:hAnsi="宋体"/>
          <w:b/>
          <w:color w:val="auto"/>
          <w:sz w:val="32"/>
          <w:szCs w:val="22"/>
          <w:u w:val="single"/>
          <w:lang w:val="en-US" w:eastAsia="zh-CN"/>
        </w:rPr>
        <w:t>二六</w:t>
      </w:r>
      <w:r>
        <w:rPr>
          <w:rFonts w:hint="eastAsia" w:ascii="宋体" w:hAnsi="宋体"/>
          <w:b/>
          <w:color w:val="auto"/>
          <w:sz w:val="32"/>
          <w:szCs w:val="22"/>
          <w:u w:val="single"/>
        </w:rPr>
        <w:t>年</w:t>
      </w:r>
      <w:r>
        <w:rPr>
          <w:rFonts w:hint="eastAsia" w:ascii="宋体" w:hAnsi="宋体"/>
          <w:b/>
          <w:color w:val="auto"/>
          <w:sz w:val="32"/>
          <w:szCs w:val="22"/>
          <w:u w:val="single"/>
          <w:lang w:val="en-US" w:eastAsia="zh-CN"/>
        </w:rPr>
        <w:t>六</w:t>
      </w:r>
      <w:r>
        <w:rPr>
          <w:rFonts w:hint="eastAsia" w:ascii="宋体" w:hAnsi="宋体"/>
          <w:b/>
          <w:color w:val="auto"/>
          <w:sz w:val="32"/>
          <w:szCs w:val="22"/>
          <w:u w:val="single"/>
        </w:rPr>
        <w:t xml:space="preserve">月  </w:t>
      </w:r>
      <w:r>
        <w:rPr>
          <w:rFonts w:hint="eastAsia" w:ascii="宋体" w:hAnsi="宋体"/>
          <w:b/>
          <w:color w:val="auto"/>
          <w:sz w:val="32"/>
          <w:szCs w:val="22"/>
          <w:u w:val="single"/>
          <w:lang w:val="en-US" w:eastAsia="zh-CN"/>
        </w:rPr>
        <w:t xml:space="preserve">    </w:t>
      </w:r>
      <w:r>
        <w:rPr>
          <w:rFonts w:hint="eastAsia" w:ascii="宋体" w:hAnsi="宋体"/>
          <w:b/>
          <w:color w:val="auto"/>
          <w:sz w:val="32"/>
          <w:szCs w:val="22"/>
          <w:u w:val="single"/>
        </w:rPr>
        <w:t xml:space="preserve">  </w:t>
      </w:r>
      <w:r>
        <w:rPr>
          <w:rFonts w:hint="eastAsia" w:ascii="宋体" w:hAnsi="宋体"/>
          <w:b/>
          <w:color w:val="auto"/>
          <w:sz w:val="32"/>
          <w:szCs w:val="22"/>
          <w:u w:val="single"/>
          <w:lang w:val="en-US" w:eastAsia="zh-CN"/>
        </w:rPr>
        <w:t xml:space="preserve">  </w:t>
      </w:r>
    </w:p>
    <w:p w14:paraId="515AD275">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center"/>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盐城市政府采购合同（服务）</w:t>
      </w:r>
    </w:p>
    <w:p w14:paraId="71D2BD05">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项目名称：</w:t>
      </w:r>
    </w:p>
    <w:p w14:paraId="08C12531">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项目编号：</w:t>
      </w:r>
    </w:p>
    <w:p w14:paraId="3229CF71">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sz w:val="21"/>
          <w:szCs w:val="21"/>
          <w:highlight w:val="none"/>
          <w:lang w:val="en-US"/>
        </w:rPr>
      </w:pPr>
      <w:r>
        <w:rPr>
          <w:rFonts w:hint="eastAsia" w:ascii="宋体" w:hAnsi="宋体" w:eastAsia="宋体" w:cs="宋体"/>
          <w:color w:val="000000"/>
          <w:sz w:val="21"/>
          <w:szCs w:val="21"/>
          <w:highlight w:val="none"/>
        </w:rPr>
        <w:t>甲方：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eastAsia="zh-CN"/>
        </w:rPr>
        <w:t>采购人</w:t>
      </w:r>
      <w:r>
        <w:rPr>
          <w:rFonts w:hint="eastAsia" w:ascii="宋体" w:hAnsi="宋体" w:eastAsia="宋体" w:cs="宋体"/>
          <w:color w:val="000000"/>
          <w:sz w:val="21"/>
          <w:szCs w:val="21"/>
          <w:highlight w:val="none"/>
        </w:rPr>
        <w:t>）</w:t>
      </w:r>
    </w:p>
    <w:p w14:paraId="65E6F252">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sz w:val="21"/>
          <w:szCs w:val="21"/>
          <w:highlight w:val="none"/>
          <w:lang w:val="en-US"/>
        </w:rPr>
      </w:pPr>
      <w:r>
        <w:rPr>
          <w:rFonts w:hint="eastAsia" w:ascii="宋体" w:hAnsi="宋体" w:eastAsia="宋体" w:cs="宋体"/>
          <w:color w:val="000000"/>
          <w:sz w:val="21"/>
          <w:szCs w:val="21"/>
          <w:highlight w:val="none"/>
        </w:rPr>
        <w:t>乙方：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中标人</w:t>
      </w:r>
      <w:r>
        <w:rPr>
          <w:rFonts w:hint="eastAsia" w:ascii="宋体" w:hAnsi="宋体" w:eastAsia="宋体" w:cs="宋体"/>
          <w:color w:val="000000"/>
          <w:sz w:val="21"/>
          <w:szCs w:val="21"/>
          <w:highlight w:val="none"/>
        </w:rPr>
        <w:t>）</w:t>
      </w:r>
    </w:p>
    <w:p w14:paraId="3B4D9C00">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甲、乙双方根据</w:t>
      </w:r>
      <w:r>
        <w:rPr>
          <w:rFonts w:hint="eastAsia" w:ascii="宋体" w:hAnsi="宋体" w:eastAsia="宋体" w:cs="宋体"/>
          <w:color w:val="000000"/>
          <w:sz w:val="21"/>
          <w:szCs w:val="21"/>
          <w:highlight w:val="none"/>
          <w:u w:val="single"/>
        </w:rPr>
        <w:t>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项目公开招标的结果，签署本合同。</w:t>
      </w:r>
    </w:p>
    <w:p w14:paraId="60E3B411">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一、合同内容</w:t>
      </w:r>
    </w:p>
    <w:p w14:paraId="61C4003B">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1、项目名称：</w:t>
      </w:r>
      <w:r>
        <w:rPr>
          <w:rFonts w:hint="eastAsia" w:ascii="宋体" w:hAnsi="宋体" w:eastAsia="宋体" w:cs="宋体"/>
          <w:color w:val="000000"/>
          <w:sz w:val="21"/>
          <w:szCs w:val="21"/>
          <w:highlight w:val="none"/>
          <w:u w:val="single"/>
          <w:lang w:val="en-US" w:eastAsia="zh-CN"/>
        </w:rPr>
        <w:t xml:space="preserve">                  </w:t>
      </w:r>
    </w:p>
    <w:p w14:paraId="512D0CE2">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2、合同履行期限：</w:t>
      </w:r>
      <w:r>
        <w:rPr>
          <w:rFonts w:hint="eastAsia" w:ascii="宋体" w:hAnsi="宋体" w:eastAsia="宋体" w:cs="宋体"/>
          <w:color w:val="000000"/>
          <w:sz w:val="21"/>
          <w:szCs w:val="21"/>
          <w:highlight w:val="none"/>
          <w:u w:val="single"/>
          <w:lang w:val="en-US" w:eastAsia="zh-CN"/>
        </w:rPr>
        <w:t xml:space="preserve">              </w:t>
      </w:r>
    </w:p>
    <w:p w14:paraId="70427168">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none"/>
          <w:lang w:val="en-US" w:eastAsia="zh-CN"/>
        </w:rPr>
        <w:t>3、履行地点：</w:t>
      </w:r>
      <w:r>
        <w:rPr>
          <w:rFonts w:hint="eastAsia" w:ascii="宋体" w:hAnsi="宋体" w:eastAsia="宋体" w:cs="宋体"/>
          <w:color w:val="000000"/>
          <w:sz w:val="21"/>
          <w:szCs w:val="21"/>
          <w:highlight w:val="none"/>
          <w:u w:val="single"/>
          <w:lang w:val="en-US" w:eastAsia="zh-CN"/>
        </w:rPr>
        <w:t xml:space="preserve">                  </w:t>
      </w:r>
    </w:p>
    <w:p w14:paraId="4F452184">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二、合同金额</w:t>
      </w:r>
    </w:p>
    <w:p w14:paraId="386418D2">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000000" w:themeColor="text1"/>
          <w:sz w:val="21"/>
          <w:szCs w:val="21"/>
          <w:highlight w:val="none"/>
          <w14:textFill>
            <w14:solidFill>
              <w14:schemeClr w14:val="tx1"/>
            </w14:solidFill>
          </w14:textFill>
        </w:rPr>
        <w:t>2.1合同总价人民币</w:t>
      </w:r>
      <w:r>
        <w:rPr>
          <w:rFonts w:hint="eastAsia" w:ascii="宋体" w:hAnsi="宋体" w:eastAsia="宋体" w:cs="宋体"/>
          <w:color w:val="000000" w:themeColor="text1"/>
          <w:sz w:val="21"/>
          <w:szCs w:val="21"/>
          <w:highlight w:val="none"/>
          <w:lang w:val="en-US" w:eastAsia="zh-CN"/>
          <w14:textFill>
            <w14:solidFill>
              <w14:schemeClr w14:val="tx1"/>
            </w14:solidFill>
          </w14:textFill>
        </w:rPr>
        <w:t>（原万盈镇）</w:t>
      </w:r>
      <w:r>
        <w:rPr>
          <w:rFonts w:hint="eastAsia" w:ascii="宋体" w:hAnsi="宋体" w:eastAsia="宋体" w:cs="宋体"/>
          <w:color w:val="000000" w:themeColor="text1"/>
          <w:sz w:val="21"/>
          <w:szCs w:val="21"/>
          <w:highlight w:val="none"/>
          <w14:textFill>
            <w14:solidFill>
              <w14:schemeClr w14:val="tx1"/>
            </w14:solidFill>
          </w14:textFill>
        </w:rPr>
        <w:t>（大写）：</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（小写）</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元；（原沈灶镇）</w:t>
      </w:r>
      <w:r>
        <w:rPr>
          <w:rFonts w:hint="eastAsia" w:ascii="宋体" w:hAnsi="宋体" w:eastAsia="宋体" w:cs="宋体"/>
          <w:color w:val="000000" w:themeColor="text1"/>
          <w:sz w:val="21"/>
          <w:szCs w:val="21"/>
          <w:highlight w:val="none"/>
          <w14:textFill>
            <w14:solidFill>
              <w14:schemeClr w14:val="tx1"/>
            </w14:solidFill>
          </w14:textFill>
        </w:rPr>
        <w:t>（大写）：</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（小写）</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元。</w:t>
      </w:r>
    </w:p>
    <w:p w14:paraId="5C6E7249">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2.2一标段原万盈镇约61500亩；二标段</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原沈灶镇</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约61000亩；</w:t>
      </w:r>
      <w:r>
        <w:rPr>
          <w:rFonts w:hint="eastAsia" w:ascii="宋体" w:hAnsi="宋体" w:eastAsia="宋体" w:cs="宋体"/>
          <w:b/>
          <w:bCs/>
          <w:color w:val="000000" w:themeColor="text1"/>
          <w:sz w:val="21"/>
          <w:szCs w:val="21"/>
          <w:highlight w:val="none"/>
          <w14:textFill>
            <w14:solidFill>
              <w14:schemeClr w14:val="tx1"/>
            </w14:solidFill>
          </w14:textFill>
        </w:rPr>
        <w:t>最终以实际完成量结算</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本项目采用固定全费用综合单价合同，合同实施过程中风险范围内中标全费用综合单价不调整。结算价=中标单价×实际完成工程量(实际完成工程量最终按承包合同记载的实测面积为准)。</w:t>
      </w:r>
      <w:r>
        <w:rPr>
          <w:rFonts w:hint="eastAsia" w:ascii="宋体" w:hAnsi="宋体" w:eastAsia="宋体" w:cs="宋体"/>
          <w:color w:val="000000" w:themeColor="text1"/>
          <w:sz w:val="21"/>
          <w:szCs w:val="21"/>
          <w:highlight w:val="none"/>
          <w14:textFill>
            <w14:solidFill>
              <w14:schemeClr w14:val="tx1"/>
            </w14:solidFill>
          </w14:textFill>
        </w:rPr>
        <w:t>投标报价应包括</w:t>
      </w:r>
      <w:r>
        <w:rPr>
          <w:rFonts w:hint="eastAsia" w:ascii="宋体" w:hAnsi="宋体" w:eastAsia="宋体" w:cs="宋体"/>
          <w:color w:val="000000" w:themeColor="text1"/>
          <w:sz w:val="21"/>
          <w:szCs w:val="21"/>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中标后为完成本项目服务</w:t>
      </w:r>
      <w:r>
        <w:rPr>
          <w:rFonts w:hint="eastAsia" w:ascii="宋体" w:hAnsi="宋体" w:eastAsia="宋体" w:cs="宋体"/>
          <w:color w:val="000000" w:themeColor="text1"/>
          <w:sz w:val="21"/>
          <w:szCs w:val="21"/>
          <w:highlight w:val="none"/>
          <w:lang w:eastAsia="zh-CN"/>
          <w14:textFill>
            <w14:solidFill>
              <w14:schemeClr w14:val="tx1"/>
            </w14:solidFill>
          </w14:textFill>
        </w:rPr>
        <w:t>所有</w:t>
      </w:r>
      <w:r>
        <w:rPr>
          <w:rFonts w:hint="eastAsia" w:ascii="宋体" w:hAnsi="宋体" w:eastAsia="宋体" w:cs="宋体"/>
          <w:color w:val="000000" w:themeColor="text1"/>
          <w:sz w:val="21"/>
          <w:szCs w:val="21"/>
          <w:highlight w:val="none"/>
          <w14:textFill>
            <w14:solidFill>
              <w14:schemeClr w14:val="tx1"/>
            </w14:solidFill>
          </w14:textFill>
        </w:rPr>
        <w:t>费用（</w:t>
      </w:r>
      <w:r>
        <w:rPr>
          <w:rFonts w:hint="eastAsia" w:ascii="宋体" w:hAnsi="宋体" w:eastAsia="宋体" w:cs="宋体"/>
          <w:color w:val="auto"/>
          <w:sz w:val="21"/>
          <w:szCs w:val="21"/>
          <w:highlight w:val="none"/>
        </w:rPr>
        <w:t>包括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本项目招标代理费、</w:t>
      </w:r>
      <w:r>
        <w:rPr>
          <w:rFonts w:hint="eastAsia" w:ascii="宋体" w:hAnsi="宋体" w:eastAsia="宋体" w:cs="宋体"/>
          <w:color w:val="000000" w:themeColor="text1"/>
          <w:sz w:val="21"/>
          <w:szCs w:val="21"/>
          <w:highlight w:val="none"/>
          <w14:textFill>
            <w14:solidFill>
              <w14:schemeClr w14:val="tx1"/>
            </w14:solidFill>
          </w14:textFill>
        </w:rPr>
        <w:t>服务期内政策调整风险费等全部费用</w:t>
      </w:r>
      <w:r>
        <w:rPr>
          <w:rFonts w:hint="eastAsia" w:ascii="宋体" w:hAnsi="宋体" w:eastAsia="宋体" w:cs="宋体"/>
          <w:color w:val="000000" w:themeColor="text1"/>
          <w:sz w:val="21"/>
          <w:szCs w:val="21"/>
          <w:highlight w:val="none"/>
          <w:lang w:eastAsia="zh-CN"/>
          <w14:textFill>
            <w14:solidFill>
              <w14:schemeClr w14:val="tx1"/>
            </w14:solidFill>
          </w14:textFill>
        </w:rPr>
        <w:t>由</w:t>
      </w:r>
      <w:r>
        <w:rPr>
          <w:rFonts w:hint="eastAsia" w:ascii="宋体" w:hAnsi="宋体" w:eastAsia="宋体" w:cs="宋体"/>
          <w:color w:val="000000" w:themeColor="text1"/>
          <w:sz w:val="21"/>
          <w:szCs w:val="21"/>
          <w14:textFill>
            <w14:solidFill>
              <w14:schemeClr w14:val="tx1"/>
            </w14:solidFill>
          </w14:textFill>
        </w:rPr>
        <w:t>供应商承担</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招标人不再支付除报价以外的一切费用</w:t>
      </w:r>
      <w:r>
        <w:rPr>
          <w:rFonts w:hint="eastAsia" w:ascii="宋体" w:hAnsi="宋体" w:eastAsia="宋体" w:cs="宋体"/>
          <w:color w:val="000000" w:themeColor="text1"/>
          <w:sz w:val="21"/>
          <w:szCs w:val="21"/>
          <w:highlight w:val="none"/>
          <w14:textFill>
            <w14:solidFill>
              <w14:schemeClr w14:val="tx1"/>
            </w14:solidFill>
          </w14:textFill>
        </w:rPr>
        <w:t>。</w:t>
      </w:r>
    </w:p>
    <w:p w14:paraId="1F71D191">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三、技术资料</w:t>
      </w:r>
    </w:p>
    <w:p w14:paraId="233C845A">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3.1本协议涉及的技术研究及其成果报告除国家行政管理部门规定的公开外，保密期为永久。甲乙双方须妥善保管各自持有的报告及其相关资料。</w:t>
      </w:r>
    </w:p>
    <w:p w14:paraId="32547A41">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甲乙任何一方因本协议而获知他方明示为机密的信息物件等，未经他方同意，不得运用于本协议无关的工作，且应以妥善管理，不得泄露、告知、交付或以任何其他方式转移，或提供给任何第三人使用。</w:t>
      </w:r>
    </w:p>
    <w:p w14:paraId="773493BC">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2" w:hanging="412"/>
        <w:jc w:val="both"/>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四、知识产权</w:t>
      </w:r>
    </w:p>
    <w:p w14:paraId="0A4BAB0B">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4.1乙方应保证甲方在合同履行期限内不受第三方提出的侵犯其专利权、版权、商标权或其他起立的起诉、一旦出现侵权，乙方应承担全部责任。</w:t>
      </w:r>
    </w:p>
    <w:p w14:paraId="6EB3C313">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五、产权担保</w:t>
      </w:r>
    </w:p>
    <w:p w14:paraId="3E62D632">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5.1乙方保证所交付的服务（包含与服务相关的货物）的所有权完全属于乙方且无任何抵押、查封等产权瑕疵。</w:t>
      </w:r>
    </w:p>
    <w:p w14:paraId="56817AE3">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both"/>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六、履约保证金</w:t>
      </w:r>
    </w:p>
    <w:p w14:paraId="5292D4DC">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6.1乙方交纳人民币</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元作为本合同的履约保证金。</w:t>
      </w:r>
    </w:p>
    <w:p w14:paraId="3BB4C1CA">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（备注：合同价的10%，采购人应当对AA评级及以上政府采购供应商（需提供信用管理部门备案的第三方信用报告）免收履约保证金或降低履约保证金缴纳比例。）</w:t>
      </w:r>
    </w:p>
    <w:p w14:paraId="11E1642B">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6.</w:t>
      </w:r>
      <w:r>
        <w:rPr>
          <w:rFonts w:hint="eastAsia" w:ascii="宋体" w:hAnsi="宋体" w:eastAsia="宋体" w:cs="宋体"/>
          <w:color w:val="000000"/>
          <w:sz w:val="21"/>
          <w:szCs w:val="21"/>
          <w:highlight w:val="none"/>
          <w:lang w:val="en-US" w:eastAsia="zh-CN"/>
        </w:rPr>
        <w:t>2确需收取履约保证金的，</w:t>
      </w:r>
      <w:r>
        <w:rPr>
          <w:rFonts w:hint="eastAsia" w:ascii="宋体" w:hAnsi="宋体" w:eastAsia="宋体" w:cs="宋体"/>
          <w:color w:val="000000"/>
          <w:sz w:val="21"/>
          <w:szCs w:val="21"/>
          <w:highlight w:val="none"/>
          <w:lang w:eastAsia="zh-CN"/>
        </w:rPr>
        <w:t>履约保证金的缴纳形式：</w:t>
      </w:r>
    </w:p>
    <w:p w14:paraId="3EDCFA05">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6.2.1</w:t>
      </w:r>
      <w:r>
        <w:rPr>
          <w:rFonts w:hint="eastAsia" w:ascii="宋体" w:hAnsi="宋体" w:eastAsia="宋体" w:cs="宋体"/>
          <w:color w:val="000000"/>
          <w:sz w:val="21"/>
          <w:szCs w:val="21"/>
          <w:highlight w:val="none"/>
        </w:rPr>
        <w:t>供应商应当以支票、汇票、本票或者金融机构、担保机构出具的保函等非现金形式提交</w:t>
      </w:r>
      <w:r>
        <w:rPr>
          <w:rFonts w:hint="eastAsia" w:ascii="宋体" w:hAnsi="宋体" w:eastAsia="宋体" w:cs="宋体"/>
          <w:color w:val="000000"/>
          <w:sz w:val="21"/>
          <w:szCs w:val="21"/>
          <w:highlight w:val="none"/>
          <w:lang w:eastAsia="zh-CN"/>
        </w:rPr>
        <w:t>履约保证金</w:t>
      </w:r>
      <w:r>
        <w:rPr>
          <w:rFonts w:hint="eastAsia" w:ascii="宋体" w:hAnsi="宋体" w:eastAsia="宋体" w:cs="宋体"/>
          <w:color w:val="000000"/>
          <w:sz w:val="21"/>
          <w:szCs w:val="21"/>
          <w:highlight w:val="none"/>
        </w:rPr>
        <w:t>。依据《关于在全省政府采购领域推行电子履约保函（保险）的通知》，鼓励供应商自愿使用</w:t>
      </w:r>
      <w:r>
        <w:rPr>
          <w:rFonts w:hint="eastAsia" w:ascii="宋体" w:hAnsi="宋体" w:eastAsia="宋体" w:cs="宋体"/>
          <w:color w:val="000000"/>
          <w:sz w:val="21"/>
          <w:szCs w:val="21"/>
          <w:highlight w:val="none"/>
          <w:lang w:eastAsia="zh-CN"/>
        </w:rPr>
        <w:t>电子</w:t>
      </w:r>
      <w:r>
        <w:rPr>
          <w:rFonts w:hint="eastAsia" w:ascii="宋体" w:hAnsi="宋体" w:eastAsia="宋体" w:cs="宋体"/>
          <w:color w:val="000000"/>
          <w:sz w:val="21"/>
          <w:szCs w:val="21"/>
          <w:highlight w:val="none"/>
        </w:rPr>
        <w:t>履约保函（保险）代替缴纳履约保证金</w:t>
      </w:r>
      <w:r>
        <w:rPr>
          <w:rFonts w:hint="eastAsia" w:ascii="宋体" w:hAnsi="宋体" w:eastAsia="宋体" w:cs="宋体"/>
          <w:color w:val="000000"/>
          <w:sz w:val="21"/>
          <w:szCs w:val="21"/>
          <w:highlight w:val="none"/>
          <w:lang w:eastAsia="zh-CN"/>
        </w:rPr>
        <w:t>。</w:t>
      </w:r>
    </w:p>
    <w:p w14:paraId="37BA6E94">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6.2.2 如以履约保函（保险）形式缴纳履约保证金，供应商可通过政府采购电子履约保函（保险）平台（www.jsdzbh.com）在线申请履约保函（保险）。</w:t>
      </w:r>
    </w:p>
    <w:p w14:paraId="7DD7165C">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合同履行结束后，甲方应及时退还交纳的履约保证金。</w:t>
      </w:r>
    </w:p>
    <w:p w14:paraId="454CF72C">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履约保证金的退还：</w:t>
      </w:r>
    </w:p>
    <w:p w14:paraId="221D2B31">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.1方式：退还至投标人缴纳履约保证金的账户。如为保函，在到期时自行失效。</w:t>
      </w:r>
    </w:p>
    <w:p w14:paraId="6854AF51">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.2时间：验收合格且采购人收到发票后30日内。</w:t>
      </w:r>
    </w:p>
    <w:p w14:paraId="4295C4A4">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.3条件：按合同要求全部履约完成并经采购人验收合格，且采购人收到中标人出具的发票。</w:t>
      </w:r>
    </w:p>
    <w:p w14:paraId="37A87BC9">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.4不予退还情形：</w:t>
      </w:r>
    </w:p>
    <w:p w14:paraId="2DFF7CF7">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除不可抗力情况外，投标人出现下列情形之一的，其履约保证金，招标人将视情节决定不予退还或部分不予退还。</w:t>
      </w:r>
    </w:p>
    <w:p w14:paraId="4405B304">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（1）中标人无正当理由拒绝签订合同的，或者在签订合同时向采购人提出附加条件或者更改合同实质性内容要求的；</w:t>
      </w:r>
    </w:p>
    <w:p w14:paraId="4E2CD09A">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（2）中标人不履行与采购人订立的合同的；</w:t>
      </w:r>
    </w:p>
    <w:p w14:paraId="5D1924A1">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（3）中标人所供货物或服务不符合招标文件规定要求的；</w:t>
      </w:r>
    </w:p>
    <w:p w14:paraId="293A7E43">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（4）中标人采取欺骗、弄虚作假方式投标的或与其它投标人串通投标的；</w:t>
      </w:r>
    </w:p>
    <w:p w14:paraId="3210A1D8">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（5）中标人将合同内容转包、违法分包的；</w:t>
      </w:r>
    </w:p>
    <w:p w14:paraId="4139920D">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（6）中标人故意捏造事实或伪造证明材料，进行虚假恶意投诉或反映的。</w:t>
      </w:r>
    </w:p>
    <w:p w14:paraId="794E4FF8">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.5逾期退还的违约责任：采购人逾期无故未退还履约保证金的，按中国人民银行同期贷款基准利率上浮20%后的利率支付超期资金占用费，但因供应商自身原因导致无法及时退还的除外。</w:t>
      </w:r>
    </w:p>
    <w:p w14:paraId="3881BEE0">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both"/>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七、合同转包或分包</w:t>
      </w:r>
    </w:p>
    <w:p w14:paraId="48902084">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7.1本项目最终服务成果的所有权、使用权和著作权归属于甲方所有，未经甲方许可，乙方不得擅自使用本项目的任何数据及相关资料。</w:t>
      </w:r>
    </w:p>
    <w:p w14:paraId="76ABD967">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7.2</w:t>
      </w:r>
      <w:r>
        <w:rPr>
          <w:rFonts w:hint="eastAsia" w:ascii="宋体" w:hAnsi="宋体" w:eastAsia="宋体" w:cs="宋体"/>
          <w:color w:val="000000"/>
          <w:sz w:val="21"/>
          <w:szCs w:val="21"/>
          <w:highlight w:val="none"/>
        </w:rPr>
        <w:t>乙方应保证甲方在使用、接受本合同标的或其任何一部分时不受第三方提出侵犯其专利权、版权、商标权和工业设计权等知识产权的起诉。一旦出现侵权，由乙方负全部责任。同时消除对甲方产生的不利影响并赔偿甲方的损失。</w:t>
      </w:r>
    </w:p>
    <w:p w14:paraId="622C07DF">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7.3</w:t>
      </w:r>
      <w:r>
        <w:rPr>
          <w:rFonts w:hint="eastAsia" w:ascii="宋体" w:hAnsi="宋体" w:eastAsia="宋体" w:cs="宋体"/>
          <w:color w:val="000000"/>
          <w:sz w:val="21"/>
          <w:szCs w:val="21"/>
          <w:highlight w:val="none"/>
        </w:rPr>
        <w:t>没有甲方事先书面同意，乙方不得将由甲方提供的有关合同或任何合同条文、计划、图纸、样品、数据或资料提供给与履行本合同无关的任何其他人。即使向履行本合同有关的人员提供，也应注意保密并限于履行合同的必需范围。</w:t>
      </w:r>
    </w:p>
    <w:p w14:paraId="454C8284">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八、合同款项支付</w:t>
      </w:r>
    </w:p>
    <w:p w14:paraId="0A8015D5">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8.1</w:t>
      </w:r>
      <w:r>
        <w:rPr>
          <w:rFonts w:hint="eastAsia" w:ascii="宋体" w:hAnsi="宋体" w:eastAsia="宋体" w:cs="宋体"/>
          <w:color w:val="000000"/>
          <w:sz w:val="21"/>
          <w:szCs w:val="21"/>
          <w:highlight w:val="none"/>
          <w:lang w:val="en-US" w:eastAsia="zh-CN"/>
        </w:rPr>
        <w:t>本项目付预付款</w:t>
      </w:r>
      <w:r>
        <w:rPr>
          <w:rFonts w:hint="eastAsia" w:ascii="宋体" w:hAnsi="宋体" w:eastAsia="宋体" w:cs="宋体"/>
          <w:color w:val="000000"/>
          <w:sz w:val="21"/>
          <w:szCs w:val="21"/>
          <w:highlight w:val="none"/>
        </w:rPr>
        <w:t>合同总价款金额的</w:t>
      </w:r>
      <w:r>
        <w:rPr>
          <w:rFonts w:hint="eastAsia"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项目服务合同签订后完成规定的土地延包合同签订工作内容（除有矛盾延缓的技术服务）且通过上级验收，同时要求项目全部资料完善、完成统一归档备案后付至合同价款的60%，余款于合同约定的总服务期满（2028年年底）后付清。</w:t>
      </w:r>
    </w:p>
    <w:p w14:paraId="368C2485">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420" w:firstLineChars="200"/>
        <w:jc w:val="both"/>
        <w:textAlignment w:val="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注：</w:t>
      </w:r>
      <w:r>
        <w:rPr>
          <w:rFonts w:hint="eastAsia" w:ascii="宋体" w:hAnsi="宋体" w:eastAsia="宋体" w:cs="宋体"/>
          <w:color w:val="000000"/>
          <w:sz w:val="21"/>
          <w:szCs w:val="21"/>
          <w:highlight w:val="none"/>
          <w:lang w:val="en-US" w:eastAsia="zh-CN"/>
        </w:rPr>
        <w:t>1、上述付款节点待区级财政资金到镇后按合同拨付；</w:t>
      </w:r>
    </w:p>
    <w:p w14:paraId="3E3A89EC">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840" w:firstLineChars="4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乙方申请付款的程序应符合甲方的财务规定。甲方付款前，乙方需提供等额的正式发票及相关资料，否则甲方有权延迟付款，并不承担逾期违约责任。具体到款时间最终以财政实际拨付为准，财政审核延迟付款不视为甲方违约。</w:t>
      </w:r>
    </w:p>
    <w:p w14:paraId="68E01784">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8.2结算：本项目采用固定全费用综合单价合同，合同实施过程中风险范围内中标全费用综合单价不调整。结算价=中标单价×实际完成工程量(实际完成工程量最终按承包合同记载的实测面积为准)。</w:t>
      </w:r>
    </w:p>
    <w:p w14:paraId="4146933B">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both"/>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九、税费</w:t>
      </w:r>
    </w:p>
    <w:p w14:paraId="66F8CD9B">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9.1本合同执行中相关的一切税费均由乙方负担。</w:t>
      </w:r>
    </w:p>
    <w:p w14:paraId="419A0B9D">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十、项目验收</w:t>
      </w:r>
    </w:p>
    <w:p w14:paraId="08603E6D">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460" w:lineRule="exact"/>
        <w:ind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10.1甲方依法组织履约验收工作。</w:t>
      </w:r>
    </w:p>
    <w:p w14:paraId="25C2B27E">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460" w:lineRule="exact"/>
        <w:ind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2FC60DE">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460" w:lineRule="exact"/>
        <w:ind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10.3对于实际使用人和甲方分离的项目，甲方邀请实际使用人参与验收。</w:t>
      </w:r>
    </w:p>
    <w:p w14:paraId="57F5F536">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460" w:lineRule="exact"/>
        <w:ind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10.4如有必要，甲方邀请参加本项目的其他供应商或第三方专业机构及专家参与验收，相关意见将作为验收书的参考资料。</w:t>
      </w:r>
    </w:p>
    <w:p w14:paraId="20E82368">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460" w:lineRule="exact"/>
        <w:ind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10.5甲方</w:t>
      </w:r>
      <w:r>
        <w:rPr>
          <w:rFonts w:hint="eastAsia" w:cs="宋体"/>
          <w:i w:val="0"/>
          <w:iCs w:val="0"/>
          <w:color w:val="auto"/>
          <w:sz w:val="21"/>
          <w:szCs w:val="21"/>
          <w:highlight w:val="none"/>
          <w:lang w:val="en-US" w:eastAsia="zh-CN"/>
        </w:rPr>
        <w:t>提请上级组织验收</w:t>
      </w:r>
      <w:r>
        <w:rPr>
          <w:rFonts w:hint="eastAsia" w:ascii="宋体" w:hAnsi="宋体" w:eastAsia="宋体" w:cs="宋体"/>
          <w:i w:val="0"/>
          <w:iCs w:val="0"/>
          <w:color w:val="auto"/>
          <w:sz w:val="21"/>
          <w:szCs w:val="21"/>
          <w:highlight w:val="none"/>
          <w:lang w:val="en-US" w:eastAsia="zh-CN"/>
        </w:rPr>
        <w:t>，按照采购合同的约定对乙方的履约情况进行验收。验收时,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2BC07CF">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460" w:lineRule="exact"/>
        <w:ind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558EB24">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十一、诚实信用</w:t>
      </w:r>
    </w:p>
    <w:p w14:paraId="267B76E8">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乙方应诚实信用，严格按照采购文件要求和承诺履行合同，不向甲方进行商业贿赂或者提供不正当利益。</w:t>
      </w:r>
    </w:p>
    <w:p w14:paraId="57F4CF9F">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甲方的权利和义务：</w:t>
      </w:r>
    </w:p>
    <w:p w14:paraId="592AE291">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1、甲方按约定在合理范围内向乙方提供必要的协助。</w:t>
      </w:r>
    </w:p>
    <w:p w14:paraId="300736F3">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2、按约定的付款方式和时间向乙方支付合同费用。</w:t>
      </w:r>
    </w:p>
    <w:p w14:paraId="48FAF37B">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3、协助收集、整理管理所需要的全部图纸、档案资料。</w:t>
      </w:r>
    </w:p>
    <w:p w14:paraId="46F4935D">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4、协调处理本合同生效前发生的管理遗留问题。</w:t>
      </w:r>
    </w:p>
    <w:p w14:paraId="7668AEFD">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lang w:eastAsia="zh-CN"/>
        </w:rPr>
      </w:pPr>
      <w:r>
        <w:rPr>
          <w:rFonts w:hint="eastAsia" w:ascii="宋体" w:hAnsi="宋体" w:eastAsia="宋体" w:cs="宋体"/>
          <w:b/>
          <w:bCs/>
          <w:color w:val="000000"/>
          <w:kern w:val="0"/>
          <w:sz w:val="21"/>
          <w:szCs w:val="21"/>
          <w:lang w:val="en-US" w:eastAsia="zh-CN"/>
        </w:rPr>
        <w:t>5、</w:t>
      </w:r>
      <w:r>
        <w:rPr>
          <w:rFonts w:hint="eastAsia" w:ascii="宋体" w:hAnsi="宋体" w:eastAsia="宋体" w:cs="宋体"/>
          <w:b/>
          <w:bCs/>
          <w:color w:val="000000"/>
          <w:kern w:val="0"/>
          <w:sz w:val="21"/>
          <w:szCs w:val="21"/>
          <w:lang w:eastAsia="zh-CN"/>
        </w:rPr>
        <w:t>招标人根据项目实施进度有权随时要求乙方人加派项目组人员</w:t>
      </w:r>
      <w:r>
        <w:rPr>
          <w:rFonts w:hint="eastAsia" w:ascii="宋体" w:hAnsi="宋体" w:eastAsia="宋体" w:cs="宋体"/>
          <w:color w:val="000000"/>
          <w:kern w:val="0"/>
          <w:sz w:val="21"/>
          <w:szCs w:val="21"/>
          <w:lang w:eastAsia="zh-CN"/>
        </w:rPr>
        <w:t>。</w:t>
      </w:r>
    </w:p>
    <w:p w14:paraId="42ED573F">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乙方的权利和义务：</w:t>
      </w:r>
    </w:p>
    <w:p w14:paraId="2534C7E7">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1、摸底核实。用好二轮土地承包台账、确权登记颁证成果和农村集体产权制度改革成果，入户开展土地承包情况摸底核实。</w:t>
      </w:r>
    </w:p>
    <w:p w14:paraId="010C3C7B">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2、协助制定方案。根据调查摸底情况，协助镇政府拟定延包技术方案。</w:t>
      </w:r>
    </w:p>
    <w:p w14:paraId="4B26BBD7">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3、开展调查。根据延包方案，开展土地承包经营权调查，依托最新土地调查成果，形成信息公示表等调查成果及最新土地承包经营权调查成果。</w:t>
      </w:r>
    </w:p>
    <w:p w14:paraId="201473B5">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4、审核公示。调查成果提请甲方组织村进行公示。调查成果经镇政府审核后进行公示。</w:t>
      </w:r>
    </w:p>
    <w:p w14:paraId="544F683B">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5、签订合同。根据公示结果，明确二轮承包到期后延包的土地承包关系，更新农村土地承包信息数据。按照农业农村部《农村土地（耕地）承包合同（家庭承包方式）示范文本》，组织签订书面承包合同。</w:t>
      </w:r>
    </w:p>
    <w:p w14:paraId="752A1345">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6、完善证书。开展地籍调查工作，形成地籍调查成果，配合自然资源部门做好不动产统一登记工作及相关档案的收集和整理，协同农业农村部门、自然资源部门做好不动产统一登记与土地承包合同管理工作有序衔接。</w:t>
      </w:r>
    </w:p>
    <w:p w14:paraId="7F389777">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7、数据汇交。根据审核公示、农户签字确认的延包数据，建立完整的、规范的土地二轮延包数据库。</w:t>
      </w:r>
    </w:p>
    <w:p w14:paraId="14C8DC10">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8、资料归档。按一户一档做好档案的收集、整理。</w:t>
      </w:r>
    </w:p>
    <w:p w14:paraId="369EDC82">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9、乙方人身安全、交通安全及工伤医疗事故由乙方承担。</w:t>
      </w:r>
    </w:p>
    <w:p w14:paraId="0C2B38CC">
      <w:pPr>
        <w:pStyle w:val="15"/>
        <w:keepNext w:val="0"/>
        <w:keepLines w:val="0"/>
        <w:pageBreakBefore w:val="0"/>
        <w:widowControl w:val="0"/>
        <w:numPr>
          <w:ilvl w:val="0"/>
          <w:numId w:val="0"/>
        </w:numPr>
        <w:kinsoku/>
        <w:wordWrap/>
        <w:overflowPunct/>
        <w:topLinePunct w:val="0"/>
        <w:autoSpaceDE/>
        <w:autoSpaceDN/>
        <w:bidi w:val="0"/>
        <w:adjustRightInd/>
        <w:snapToGrid/>
        <w:spacing w:before="145" w:beforeAutospacing="0" w:after="145" w:afterAutospacing="0" w:line="460" w:lineRule="exact"/>
        <w:ind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cs="宋体"/>
          <w:i w:val="0"/>
          <w:iCs w:val="0"/>
          <w:color w:val="auto"/>
          <w:sz w:val="21"/>
          <w:szCs w:val="21"/>
          <w:highlight w:val="none"/>
          <w:lang w:val="en-US" w:eastAsia="zh-CN"/>
        </w:rPr>
        <w:t>1</w:t>
      </w:r>
      <w:r>
        <w:rPr>
          <w:rFonts w:hint="eastAsia" w:ascii="宋体" w:hAnsi="宋体" w:eastAsia="宋体" w:cs="宋体"/>
          <w:i w:val="0"/>
          <w:iCs w:val="0"/>
          <w:color w:val="auto"/>
          <w:sz w:val="21"/>
          <w:szCs w:val="21"/>
          <w:highlight w:val="none"/>
          <w:lang w:val="en-US" w:eastAsia="zh-CN"/>
        </w:rPr>
        <w:t>0、项目组人员及驻场时间要求：每个标段项目组设项目负责人1人（须具有测绘类或土地类中级及以上职称），须在投标截止之日起无在手项目；</w:t>
      </w:r>
      <w:r>
        <w:rPr>
          <w:rFonts w:hint="eastAsia" w:ascii="宋体" w:hAnsi="宋体" w:eastAsia="宋体" w:cs="宋体"/>
          <w:b/>
          <w:bCs/>
          <w:i w:val="0"/>
          <w:iCs w:val="0"/>
          <w:color w:val="auto"/>
          <w:sz w:val="21"/>
          <w:szCs w:val="21"/>
          <w:highlight w:val="none"/>
          <w:lang w:val="en-US" w:eastAsia="zh-CN"/>
        </w:rPr>
        <w:t>合同履约期间，项目组全体人员不得外出承接或服务其他任何项目。</w:t>
      </w:r>
      <w:r>
        <w:rPr>
          <w:rFonts w:hint="eastAsia" w:ascii="宋体" w:hAnsi="宋体" w:eastAsia="宋体" w:cs="宋体"/>
          <w:i w:val="0"/>
          <w:iCs w:val="0"/>
          <w:color w:val="auto"/>
          <w:sz w:val="21"/>
          <w:szCs w:val="21"/>
          <w:highlight w:val="none"/>
          <w:lang w:val="en-US" w:eastAsia="zh-CN"/>
        </w:rPr>
        <w:t>一标段驻场技术及管理人员（除项目负责人以外）不少于8人，至少有4人具有测绘类或土地类助理级职称；二标段驻场技术及管理人员（除项目负责人以外）不少于10人，至少有5人具有测绘类或土地类助理级职称。以上人员须在中标人单位参加社会保险，在进场时须提供社保部门出具的2026年1月（含1月）至投标截止之日连续3个月的社会保险等人员身份证明材料，否则不得列为项目组成员。技术服务合同签订后，中标单位项目组所有人员必须在一周内进场服务，否则招标人有权解除服务合同。在农户延包合同签订工作完成之前，招标人将对项目组成员进行严格考勤，每个项目组成员每月驻场时间不少于22天，项目负责人每缺勤1天扣减2000元，其他人员每缺勤1天扣减1000元，在结算项目服务费时扣除。项目组负责人和技术人员如月缺勤超10天以上，招标人有权解除服务合同。</w:t>
      </w:r>
    </w:p>
    <w:p w14:paraId="64C102AB">
      <w:pPr>
        <w:pStyle w:val="15"/>
        <w:keepNext w:val="0"/>
        <w:keepLines w:val="0"/>
        <w:pageBreakBefore w:val="0"/>
        <w:widowControl w:val="0"/>
        <w:numPr>
          <w:ilvl w:val="0"/>
          <w:numId w:val="0"/>
        </w:numPr>
        <w:kinsoku/>
        <w:wordWrap/>
        <w:overflowPunct/>
        <w:topLinePunct w:val="0"/>
        <w:autoSpaceDE/>
        <w:autoSpaceDN/>
        <w:bidi w:val="0"/>
        <w:adjustRightInd/>
        <w:snapToGrid/>
        <w:spacing w:before="145" w:beforeAutospacing="0" w:after="145" w:afterAutospacing="0" w:line="460" w:lineRule="exact"/>
        <w:ind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11、项目实施过程中，相关成果文件发生错误的，每发现一次扣减2000元，累计扣减金额达到合同总价款金额的10%，甲方有权解除服务合同。</w:t>
      </w:r>
    </w:p>
    <w:p w14:paraId="663B966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auto"/>
          <w:sz w:val="21"/>
          <w:szCs w:val="21"/>
          <w:highlight w:val="none"/>
        </w:rPr>
      </w:pPr>
      <w:r>
        <w:rPr>
          <w:rFonts w:hint="eastAsia" w:ascii="宋体" w:hAnsi="宋体" w:eastAsia="宋体" w:cs="宋体"/>
          <w:b/>
          <w:color w:val="000000"/>
          <w:sz w:val="21"/>
          <w:szCs w:val="21"/>
          <w:highlight w:val="none"/>
        </w:rPr>
        <w:t>第十</w:t>
      </w:r>
      <w:r>
        <w:rPr>
          <w:rFonts w:hint="eastAsia" w:ascii="宋体" w:hAnsi="宋体" w:eastAsia="宋体" w:cs="宋体"/>
          <w:b/>
          <w:color w:val="000000"/>
          <w:sz w:val="21"/>
          <w:szCs w:val="21"/>
          <w:highlight w:val="none"/>
          <w:lang w:eastAsia="zh-CN"/>
        </w:rPr>
        <w:t>二</w:t>
      </w:r>
      <w:r>
        <w:rPr>
          <w:rFonts w:hint="eastAsia" w:ascii="宋体" w:hAnsi="宋体" w:eastAsia="宋体" w:cs="宋体"/>
          <w:b/>
          <w:color w:val="000000"/>
          <w:sz w:val="21"/>
          <w:szCs w:val="21"/>
          <w:highlight w:val="none"/>
        </w:rPr>
        <w:t>条 违约金或者损失赔偿的计算方法：</w:t>
      </w:r>
    </w:p>
    <w:p w14:paraId="1706D287">
      <w:pPr>
        <w:pStyle w:val="11"/>
        <w:keepNext w:val="0"/>
        <w:keepLines w:val="0"/>
        <w:pageBreakBefore w:val="0"/>
        <w:widowControl w:val="0"/>
        <w:kinsoku/>
        <w:wordWrap/>
        <w:overflowPunct/>
        <w:topLinePunct w:val="0"/>
        <w:autoSpaceDE/>
        <w:autoSpaceDN/>
        <w:bidi w:val="0"/>
        <w:adjustRightInd/>
        <w:snapToGrid/>
        <w:spacing w:line="500" w:lineRule="exact"/>
        <w:ind w:firstLine="440"/>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1.甲、乙任何一方违反本合同第五条约定的，应赔偿对方损失；</w:t>
      </w:r>
    </w:p>
    <w:p w14:paraId="7BC75357">
      <w:pPr>
        <w:pStyle w:val="11"/>
        <w:keepNext w:val="0"/>
        <w:keepLines w:val="0"/>
        <w:pageBreakBefore w:val="0"/>
        <w:widowControl w:val="0"/>
        <w:kinsoku/>
        <w:wordWrap/>
        <w:overflowPunct/>
        <w:topLinePunct w:val="0"/>
        <w:autoSpaceDE/>
        <w:autoSpaceDN/>
        <w:bidi w:val="0"/>
        <w:adjustRightInd/>
        <w:snapToGrid/>
        <w:spacing w:line="500" w:lineRule="exact"/>
        <w:ind w:firstLine="440"/>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2.甲、乙任何一方违反本合同第七条的约定，除对方有权确认技术成果归属外，任何一方由于使用、转让、出售、租借等方式所获利益全部归对方所有。</w:t>
      </w:r>
    </w:p>
    <w:p w14:paraId="28D529B1">
      <w:pPr>
        <w:pStyle w:val="11"/>
        <w:keepNext w:val="0"/>
        <w:keepLines w:val="0"/>
        <w:pageBreakBefore w:val="0"/>
        <w:widowControl w:val="0"/>
        <w:kinsoku/>
        <w:wordWrap/>
        <w:overflowPunct/>
        <w:topLinePunct w:val="0"/>
        <w:autoSpaceDE/>
        <w:autoSpaceDN/>
        <w:bidi w:val="0"/>
        <w:adjustRightInd/>
        <w:snapToGrid/>
        <w:spacing w:line="500" w:lineRule="exact"/>
        <w:ind w:firstLine="440"/>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3.乙方未按合同约定全面履行合同义务的，每逾期一日，应承担合同总价款2‰的违约金，逾期超过30日的，甲方有权解除合同，乙方除返还甲方支付的价款外，应承担合同总价款20%的违约金并赔偿甲方损失。</w:t>
      </w:r>
    </w:p>
    <w:p w14:paraId="133D403B">
      <w:pPr>
        <w:pStyle w:val="11"/>
        <w:keepNext w:val="0"/>
        <w:keepLines w:val="0"/>
        <w:pageBreakBefore w:val="0"/>
        <w:widowControl w:val="0"/>
        <w:kinsoku/>
        <w:wordWrap/>
        <w:overflowPunct/>
        <w:topLinePunct w:val="0"/>
        <w:autoSpaceDE/>
        <w:autoSpaceDN/>
        <w:bidi w:val="0"/>
        <w:adjustRightInd/>
        <w:snapToGrid/>
        <w:spacing w:line="500" w:lineRule="exact"/>
        <w:ind w:firstLine="440"/>
        <w:textAlignment w:val="auto"/>
        <w:rPr>
          <w:rFonts w:hint="default" w:ascii="宋体" w:hAnsi="宋体" w:eastAsia="宋体" w:cs="宋体"/>
          <w:color w:val="000000"/>
          <w:kern w:val="0"/>
          <w:sz w:val="21"/>
          <w:szCs w:val="21"/>
          <w:highlight w:val="none"/>
          <w:lang w:val="en-US" w:eastAsia="zh-CN" w:bidi="ar-SA"/>
        </w:rPr>
      </w:pPr>
      <w:r>
        <w:rPr>
          <w:rFonts w:hint="eastAsia" w:hAnsi="宋体" w:eastAsia="宋体" w:cs="宋体"/>
          <w:color w:val="000000"/>
          <w:kern w:val="0"/>
          <w:sz w:val="21"/>
          <w:szCs w:val="21"/>
          <w:highlight w:val="none"/>
          <w:lang w:val="en-US" w:eastAsia="zh-CN" w:bidi="ar-SA"/>
        </w:rPr>
        <w:t>4、项目组成员调整须向甲方提交书面申请，经甲方同意后方可更换。未经甲方同意擅自更换项目负责人的，每次向甲方支付违约金人民币10000元；擅自更换项目组其他成员的，每次向甲方支付违约金人民币 5000 元。</w:t>
      </w:r>
    </w:p>
    <w:p w14:paraId="539066C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第</w:t>
      </w:r>
      <w:r>
        <w:rPr>
          <w:rFonts w:hint="eastAsia" w:ascii="宋体" w:hAnsi="宋体" w:eastAsia="宋体" w:cs="宋体"/>
          <w:b/>
          <w:color w:val="000000"/>
          <w:sz w:val="21"/>
          <w:szCs w:val="21"/>
          <w:highlight w:val="none"/>
        </w:rPr>
        <w:t>十</w:t>
      </w:r>
      <w:r>
        <w:rPr>
          <w:rFonts w:hint="eastAsia" w:ascii="宋体" w:hAnsi="宋体" w:eastAsia="宋体" w:cs="宋体"/>
          <w:b/>
          <w:color w:val="000000"/>
          <w:sz w:val="21"/>
          <w:szCs w:val="21"/>
          <w:highlight w:val="none"/>
          <w:lang w:val="en-US" w:eastAsia="zh-CN"/>
        </w:rPr>
        <w:t>三</w:t>
      </w:r>
      <w:r>
        <w:rPr>
          <w:rFonts w:hint="eastAsia" w:ascii="宋体" w:hAnsi="宋体" w:eastAsia="宋体" w:cs="宋体"/>
          <w:b/>
          <w:color w:val="000000"/>
          <w:sz w:val="21"/>
          <w:szCs w:val="21"/>
          <w:highlight w:val="none"/>
        </w:rPr>
        <w:t>条、争议的解决办法：</w:t>
      </w:r>
    </w:p>
    <w:p w14:paraId="65C42461">
      <w:pPr>
        <w:pStyle w:val="11"/>
        <w:keepNext w:val="0"/>
        <w:keepLines w:val="0"/>
        <w:pageBreakBefore w:val="0"/>
        <w:widowControl w:val="0"/>
        <w:kinsoku/>
        <w:wordWrap/>
        <w:overflowPunct/>
        <w:topLinePunct w:val="0"/>
        <w:autoSpaceDE/>
        <w:autoSpaceDN/>
        <w:bidi w:val="0"/>
        <w:adjustRightInd/>
        <w:snapToGrid/>
        <w:spacing w:line="500" w:lineRule="exact"/>
        <w:ind w:firstLine="440"/>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因履行本合同发生的争议，由当事人协商解决；协商不成的，依法向甲方住所地人民法院起诉。</w:t>
      </w:r>
    </w:p>
    <w:p w14:paraId="30B484A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第</w:t>
      </w:r>
      <w:r>
        <w:rPr>
          <w:rFonts w:hint="eastAsia" w:ascii="宋体" w:hAnsi="宋体" w:eastAsia="宋体" w:cs="宋体"/>
          <w:b/>
          <w:color w:val="000000"/>
          <w:sz w:val="21"/>
          <w:szCs w:val="21"/>
          <w:highlight w:val="none"/>
        </w:rPr>
        <w:t>十</w:t>
      </w:r>
      <w:r>
        <w:rPr>
          <w:rFonts w:hint="eastAsia" w:ascii="宋体" w:hAnsi="宋体" w:eastAsia="宋体" w:cs="宋体"/>
          <w:b/>
          <w:color w:val="000000"/>
          <w:sz w:val="21"/>
          <w:szCs w:val="21"/>
          <w:highlight w:val="none"/>
          <w:lang w:val="en-US" w:eastAsia="zh-CN"/>
        </w:rPr>
        <w:t>四</w:t>
      </w:r>
      <w:r>
        <w:rPr>
          <w:rFonts w:hint="eastAsia" w:ascii="宋体" w:hAnsi="宋体" w:eastAsia="宋体" w:cs="宋体"/>
          <w:b/>
          <w:color w:val="000000"/>
          <w:sz w:val="21"/>
          <w:szCs w:val="21"/>
          <w:highlight w:val="none"/>
        </w:rPr>
        <w:t>条、名词和术语的解释：</w:t>
      </w:r>
    </w:p>
    <w:p w14:paraId="18515488">
      <w:pPr>
        <w:pStyle w:val="11"/>
        <w:keepNext w:val="0"/>
        <w:keepLines w:val="0"/>
        <w:pageBreakBefore w:val="0"/>
        <w:widowControl w:val="0"/>
        <w:kinsoku/>
        <w:wordWrap/>
        <w:overflowPunct/>
        <w:topLinePunct w:val="0"/>
        <w:autoSpaceDE/>
        <w:autoSpaceDN/>
        <w:bidi w:val="0"/>
        <w:adjustRightInd/>
        <w:snapToGrid/>
        <w:spacing w:line="500" w:lineRule="exact"/>
        <w:ind w:firstLine="44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双方确定：本合同及相关附件中所涉及的有关名词和技术术语，其定义和解释如下：</w:t>
      </w:r>
    </w:p>
    <w:p w14:paraId="0324ADCB">
      <w:pPr>
        <w:pStyle w:val="11"/>
        <w:keepNext w:val="0"/>
        <w:keepLines w:val="0"/>
        <w:pageBreakBefore w:val="0"/>
        <w:widowControl w:val="0"/>
        <w:kinsoku/>
        <w:wordWrap/>
        <w:overflowPunct/>
        <w:topLinePunct w:val="0"/>
        <w:autoSpaceDE/>
        <w:autoSpaceDN/>
        <w:bidi w:val="0"/>
        <w:adjustRightInd/>
        <w:snapToGrid/>
        <w:spacing w:line="500" w:lineRule="exact"/>
        <w:ind w:firstLine="44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12BE3B1">
      <w:pPr>
        <w:pStyle w:val="11"/>
        <w:keepNext w:val="0"/>
        <w:keepLines w:val="0"/>
        <w:pageBreakBefore w:val="0"/>
        <w:widowControl w:val="0"/>
        <w:kinsoku/>
        <w:wordWrap/>
        <w:overflowPunct/>
        <w:topLinePunct w:val="0"/>
        <w:autoSpaceDE/>
        <w:autoSpaceDN/>
        <w:bidi w:val="0"/>
        <w:adjustRightInd/>
        <w:snapToGrid/>
        <w:spacing w:line="500" w:lineRule="exact"/>
        <w:ind w:firstLine="44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BCAD7D0">
      <w:pPr>
        <w:pStyle w:val="11"/>
        <w:keepNext w:val="0"/>
        <w:keepLines w:val="0"/>
        <w:pageBreakBefore w:val="0"/>
        <w:widowControl w:val="0"/>
        <w:kinsoku/>
        <w:wordWrap/>
        <w:overflowPunct/>
        <w:topLinePunct w:val="0"/>
        <w:autoSpaceDE/>
        <w:autoSpaceDN/>
        <w:bidi w:val="0"/>
        <w:adjustRightInd/>
        <w:snapToGrid/>
        <w:spacing w:line="500" w:lineRule="exact"/>
        <w:ind w:firstLine="44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FC6479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第</w:t>
      </w:r>
      <w:r>
        <w:rPr>
          <w:rFonts w:hint="eastAsia" w:ascii="宋体" w:hAnsi="宋体" w:eastAsia="宋体" w:cs="宋体"/>
          <w:b/>
          <w:color w:val="000000"/>
          <w:sz w:val="21"/>
          <w:szCs w:val="21"/>
          <w:highlight w:val="none"/>
        </w:rPr>
        <w:t>十</w:t>
      </w:r>
      <w:r>
        <w:rPr>
          <w:rFonts w:hint="eastAsia" w:ascii="宋体" w:hAnsi="宋体" w:eastAsia="宋体" w:cs="宋体"/>
          <w:b/>
          <w:color w:val="000000"/>
          <w:sz w:val="21"/>
          <w:szCs w:val="21"/>
          <w:highlight w:val="none"/>
          <w:lang w:val="en-US" w:eastAsia="zh-CN"/>
        </w:rPr>
        <w:t>五</w:t>
      </w:r>
      <w:r>
        <w:rPr>
          <w:rFonts w:hint="eastAsia" w:ascii="宋体" w:hAnsi="宋体" w:eastAsia="宋体" w:cs="宋体"/>
          <w:b/>
          <w:color w:val="000000"/>
          <w:sz w:val="21"/>
          <w:szCs w:val="21"/>
          <w:highlight w:val="none"/>
        </w:rPr>
        <w:t>、双方约定本合同其他相关事项为：</w:t>
      </w:r>
    </w:p>
    <w:p w14:paraId="64B53D9A">
      <w:pPr>
        <w:pStyle w:val="11"/>
        <w:keepNext w:val="0"/>
        <w:keepLines w:val="0"/>
        <w:pageBreakBefore w:val="0"/>
        <w:widowControl w:val="0"/>
        <w:kinsoku/>
        <w:wordWrap/>
        <w:overflowPunct/>
        <w:topLinePunct w:val="0"/>
        <w:autoSpaceDE/>
        <w:autoSpaceDN/>
        <w:bidi w:val="0"/>
        <w:adjustRightInd/>
        <w:snapToGrid/>
        <w:spacing w:line="500" w:lineRule="exact"/>
        <w:ind w:firstLine="44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1.为保证乙方有效进行技术研究工作，甲方应当向乙方提供下列协作事项：</w:t>
      </w:r>
    </w:p>
    <w:p w14:paraId="18091D4E">
      <w:pPr>
        <w:pStyle w:val="11"/>
        <w:keepNext w:val="0"/>
        <w:keepLines w:val="0"/>
        <w:pageBreakBefore w:val="0"/>
        <w:widowControl w:val="0"/>
        <w:kinsoku/>
        <w:wordWrap/>
        <w:overflowPunct/>
        <w:topLinePunct w:val="0"/>
        <w:autoSpaceDE/>
        <w:autoSpaceDN/>
        <w:bidi w:val="0"/>
        <w:adjustRightInd/>
        <w:snapToGrid/>
        <w:spacing w:line="500" w:lineRule="exact"/>
        <w:ind w:firstLine="44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Ⅰ、提供技术资料，协调乙方开展资料和技术文件的收集工作。</w:t>
      </w:r>
    </w:p>
    <w:p w14:paraId="30B60371">
      <w:pPr>
        <w:pStyle w:val="11"/>
        <w:keepNext w:val="0"/>
        <w:keepLines w:val="0"/>
        <w:pageBreakBefore w:val="0"/>
        <w:widowControl w:val="0"/>
        <w:kinsoku/>
        <w:wordWrap/>
        <w:overflowPunct/>
        <w:topLinePunct w:val="0"/>
        <w:autoSpaceDE/>
        <w:autoSpaceDN/>
        <w:bidi w:val="0"/>
        <w:adjustRightInd/>
        <w:snapToGrid/>
        <w:spacing w:line="500" w:lineRule="exact"/>
        <w:ind w:firstLine="44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2.本合同的变更必须由双方协商一致，并以书面形式确定。但有下列情形之一的，一方可以向另一方提出变更合同权利与义务的请求，另一方应当在</w:t>
      </w:r>
      <w:r>
        <w:rPr>
          <w:rFonts w:hint="eastAsia" w:ascii="宋体" w:hAnsi="宋体" w:eastAsia="宋体" w:cs="宋体"/>
          <w:color w:val="auto"/>
          <w:sz w:val="21"/>
          <w:szCs w:val="21"/>
          <w:highlight w:val="none"/>
          <w:u w:val="single"/>
        </w:rPr>
        <w:t xml:space="preserve"> 伍 </w:t>
      </w:r>
      <w:r>
        <w:rPr>
          <w:rFonts w:hint="eastAsia" w:ascii="宋体" w:hAnsi="宋体" w:eastAsia="宋体" w:cs="宋体"/>
          <w:color w:val="auto"/>
          <w:sz w:val="21"/>
          <w:szCs w:val="21"/>
          <w:highlight w:val="none"/>
        </w:rPr>
        <w:t>个工作日内予以答复；逾期未予答复的，视为同意：（1）甲方向乙方提交的基础资料有重大变化；（2）在项目过程中，国家、省或地方管理部门出台新的政策影响项目的进展；（3）项目行政主管部门发生变化。</w:t>
      </w:r>
    </w:p>
    <w:p w14:paraId="69DDABC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第十六条</w:t>
      </w:r>
      <w:r>
        <w:rPr>
          <w:rFonts w:hint="eastAsia" w:ascii="宋体" w:hAnsi="宋体" w:eastAsia="宋体" w:cs="宋体"/>
          <w:b/>
          <w:bCs/>
          <w:color w:val="auto"/>
          <w:sz w:val="21"/>
          <w:szCs w:val="21"/>
          <w:highlight w:val="none"/>
        </w:rPr>
        <w:t>、本合同一式肆份，双方各执贰份，具有同等法律效力。</w:t>
      </w:r>
    </w:p>
    <w:p w14:paraId="56293EC5">
      <w:pPr>
        <w:pStyle w:val="11"/>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第十七</w:t>
      </w:r>
      <w:r>
        <w:rPr>
          <w:rFonts w:hint="eastAsia" w:ascii="宋体" w:hAnsi="宋体" w:eastAsia="宋体" w:cs="宋体"/>
          <w:b/>
          <w:color w:val="000000"/>
          <w:sz w:val="21"/>
          <w:szCs w:val="21"/>
          <w:highlight w:val="none"/>
        </w:rPr>
        <w:t>条</w:t>
      </w:r>
      <w:r>
        <w:rPr>
          <w:rFonts w:hint="eastAsia" w:ascii="宋体" w:hAnsi="宋体" w:eastAsia="宋体" w:cs="宋体"/>
          <w:b/>
          <w:bCs/>
          <w:color w:val="auto"/>
          <w:sz w:val="21"/>
          <w:szCs w:val="21"/>
          <w:highlight w:val="none"/>
        </w:rPr>
        <w:t>、本合同经双方盖章、法定代表人或授权代理人签名后生效。</w:t>
      </w:r>
    </w:p>
    <w:p w14:paraId="2B85686E">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630" w:firstLineChars="3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甲方：               乙方： </w:t>
      </w:r>
    </w:p>
    <w:p w14:paraId="28624A47">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630" w:firstLineChars="3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地址：               地址： </w:t>
      </w:r>
    </w:p>
    <w:p w14:paraId="31D6EC24">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630" w:firstLineChars="3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法定代表人或授权代表：       法定代表人或授权代表：</w:t>
      </w:r>
    </w:p>
    <w:p w14:paraId="47E210A7">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630" w:firstLineChars="3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联系电话：                   联系电话：          </w:t>
      </w:r>
    </w:p>
    <w:p w14:paraId="0148D49F">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签订日期：2026年   月   日</w:t>
      </w:r>
      <w:bookmarkStart w:id="166" w:name="_Toc479757211"/>
      <w:bookmarkStart w:id="167" w:name="_Hlt16619350"/>
      <w:bookmarkStart w:id="168" w:name="_Toc16938590"/>
      <w:bookmarkStart w:id="169" w:name="_Toc120614244"/>
      <w:bookmarkStart w:id="170" w:name="_Toc20823346"/>
      <w:bookmarkStart w:id="171" w:name="_Toc462564139"/>
      <w:bookmarkStart w:id="172" w:name="_Hlt16619369"/>
    </w:p>
    <w:p w14:paraId="7E05622E">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r>
    </w:p>
    <w:p w14:paraId="522B4A2E">
      <w:pPr>
        <w:spacing w:line="420" w:lineRule="exact"/>
        <w:ind w:left="703" w:right="281" w:hanging="703"/>
        <w:jc w:val="center"/>
        <w:rPr>
          <w:rFonts w:hint="eastAsia" w:ascii="宋体" w:hAnsi="宋体" w:eastAsia="宋体" w:cs="宋体"/>
          <w:color w:val="auto"/>
          <w:highlight w:val="none"/>
        </w:rPr>
      </w:pPr>
      <w:r>
        <w:rPr>
          <w:rFonts w:hint="eastAsia" w:ascii="宋体" w:hAnsi="宋体" w:eastAsia="宋体" w:cs="宋体"/>
          <w:b/>
          <w:bCs/>
          <w:color w:val="auto"/>
          <w:sz w:val="40"/>
          <w:szCs w:val="40"/>
          <w:highlight w:val="none"/>
        </w:rPr>
        <w:t>廉 政 合 同</w:t>
      </w:r>
    </w:p>
    <w:p w14:paraId="61C9ADCF">
      <w:pPr>
        <w:spacing w:line="360" w:lineRule="auto"/>
        <w:ind w:left="386" w:right="283" w:hanging="38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eastAsia="zh-CN"/>
        </w:rPr>
        <w:t>盐城市大丰区</w:t>
      </w:r>
      <w:r>
        <w:rPr>
          <w:rFonts w:hint="eastAsia" w:ascii="宋体" w:hAnsi="宋体" w:eastAsia="宋体" w:cs="宋体"/>
          <w:color w:val="auto"/>
          <w:sz w:val="21"/>
          <w:szCs w:val="21"/>
          <w:highlight w:val="none"/>
          <w:lang w:val="en-US" w:eastAsia="zh-CN"/>
        </w:rPr>
        <w:t>万盈</w:t>
      </w:r>
      <w:r>
        <w:rPr>
          <w:rFonts w:hint="eastAsia" w:ascii="宋体" w:hAnsi="宋体" w:eastAsia="宋体" w:cs="宋体"/>
          <w:color w:val="auto"/>
          <w:sz w:val="21"/>
          <w:szCs w:val="21"/>
          <w:highlight w:val="none"/>
          <w:lang w:eastAsia="zh-CN"/>
        </w:rPr>
        <w:t>镇人民政府</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ab/>
      </w:r>
    </w:p>
    <w:p w14:paraId="111DDC02">
      <w:pPr>
        <w:spacing w:line="360" w:lineRule="auto"/>
        <w:ind w:left="386" w:right="283" w:hanging="38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                   </w:t>
      </w:r>
    </w:p>
    <w:p w14:paraId="418DEB3A">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为强化抓源治本工作力度，从制度机制上进一步规范建设行为，杜绝不廉洁行为，特订立本合同，双方遵照执行。</w:t>
      </w:r>
    </w:p>
    <w:p w14:paraId="7C85FA3E">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一、双方职责</w:t>
      </w:r>
    </w:p>
    <w:p w14:paraId="3ADE0520">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1、甲、乙双方必须严格遵守国家法律、法规、政策及各项廉政规定，恪守职业道德规范。</w:t>
      </w:r>
    </w:p>
    <w:p w14:paraId="727765FA">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2、甲、乙双方在具体工程建设行为中，必须严格遵守招投标法规定的原则、方式、程序，保证公平、公正、公开。</w:t>
      </w:r>
    </w:p>
    <w:p w14:paraId="6990215A">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3、甲、乙双方不得相互串通，损害国家利益、社会公共利益及其他当事人的合法权益。</w:t>
      </w:r>
    </w:p>
    <w:p w14:paraId="595C6B83">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p>
    <w:p w14:paraId="4995570F">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甲方工作人员及其配偶、子女不得以任何形式或者名义接受乙方的宴请、请钓、旅游、健身和其他娱乐活动；乙方不得以任何形式或名义邀请甲方工作人员及其配偶、子女请吃、请钓、旅游、健身和其他娱乐活动。</w:t>
      </w:r>
    </w:p>
    <w:p w14:paraId="0139A575">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6、甲方工作人员及其配偶、子女不得以打“业务牌”等形式变相接受乙方的钱物；乙方不得以打“业务牌”的形式向甲方工作人员及其配偶、子女变相送钱物。</w:t>
      </w:r>
    </w:p>
    <w:p w14:paraId="1B8D262A">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7、甲方工作人员及其配偶、子女不得在乙方报销应由个人支付的费用或领取报酬；乙方不得为甲方工作人员及其配偶、子女报销应由个人支付的费用或发放报酬。</w:t>
      </w:r>
    </w:p>
    <w:p w14:paraId="10FDD6A1">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二、违约责任：</w:t>
      </w:r>
    </w:p>
    <w:p w14:paraId="751F9465">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1、甲方发生违约行为，一经查实将视情节轻重对直接责任人进行严肃处理并追究主管人员的责任。</w:t>
      </w:r>
    </w:p>
    <w:p w14:paraId="578CEE33">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2、乙方发生违约行为，甲方有权解除合同，并将其列入“黑名单”在一定范围内公布，三年内不得参加辖区内的工程建设。</w:t>
      </w:r>
    </w:p>
    <w:p w14:paraId="549AF45E">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三、本合同经双方盖章、法定代表人或授权代理人签名后生效。</w:t>
      </w:r>
    </w:p>
    <w:p w14:paraId="579D8BD2">
      <w:pPr>
        <w:spacing w:line="360" w:lineRule="auto"/>
        <w:ind w:left="386" w:right="283" w:hanging="386"/>
        <w:rPr>
          <w:rFonts w:hint="eastAsia" w:ascii="宋体" w:hAnsi="宋体" w:eastAsia="宋体" w:cs="宋体"/>
          <w:color w:val="auto"/>
          <w:sz w:val="21"/>
          <w:szCs w:val="21"/>
          <w:highlight w:val="none"/>
        </w:rPr>
      </w:pPr>
    </w:p>
    <w:p w14:paraId="5209D0AE">
      <w:pPr>
        <w:spacing w:line="360" w:lineRule="auto"/>
        <w:ind w:left="386" w:right="283" w:hanging="38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甲方：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乙方：</w:t>
      </w:r>
    </w:p>
    <w:p w14:paraId="5D97716F">
      <w:pPr>
        <w:spacing w:line="360" w:lineRule="auto"/>
        <w:ind w:left="386" w:right="283" w:hanging="38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地址：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地址：</w:t>
      </w:r>
    </w:p>
    <w:p w14:paraId="15E7A171">
      <w:pPr>
        <w:spacing w:line="360" w:lineRule="auto"/>
        <w:ind w:left="386" w:right="283" w:hanging="38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法定代表人</w:t>
      </w:r>
    </w:p>
    <w:p w14:paraId="72293806">
      <w:pPr>
        <w:spacing w:line="360" w:lineRule="auto"/>
        <w:ind w:left="386" w:right="283" w:hanging="38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或其授权代理人：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或其授权代理人：</w:t>
      </w:r>
    </w:p>
    <w:p w14:paraId="3257456D">
      <w:pPr>
        <w:tabs>
          <w:tab w:val="center" w:pos="4576"/>
        </w:tabs>
        <w:spacing w:line="360" w:lineRule="auto"/>
        <w:ind w:left="386" w:right="283" w:hanging="386"/>
        <w:rPr>
          <w:rFonts w:hint="eastAsia" w:ascii="宋体" w:hAnsi="宋体" w:eastAsia="宋体" w:cs="宋体"/>
          <w:color w:val="auto"/>
          <w:sz w:val="21"/>
          <w:szCs w:val="21"/>
          <w:highlight w:val="none"/>
        </w:rPr>
        <w:sectPr>
          <w:footerReference r:id="rId3" w:type="default"/>
          <w:pgSz w:w="11906" w:h="16838"/>
          <w:pgMar w:top="1440" w:right="1800" w:bottom="1440" w:left="1800" w:header="851" w:footer="992" w:gutter="0"/>
          <w:pgNumType w:fmt="decimal" w:start="1"/>
          <w:cols w:space="720" w:num="1"/>
          <w:docGrid w:linePitch="360" w:charSpace="0"/>
        </w:sect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rPr>
        <w:t>年    月    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rPr>
        <w:t>年    月    日</w:t>
      </w:r>
    </w:p>
    <w:p w14:paraId="590F3B31">
      <w:pPr>
        <w:tabs>
          <w:tab w:val="left" w:pos="6264"/>
        </w:tabs>
        <w:spacing w:line="560" w:lineRule="exact"/>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安全服务合同</w:t>
      </w:r>
    </w:p>
    <w:p w14:paraId="385EA36A">
      <w:pPr>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 方： </w:t>
      </w:r>
      <w:r>
        <w:rPr>
          <w:rFonts w:hint="eastAsia" w:ascii="宋体" w:hAnsi="宋体" w:eastAsia="宋体" w:cs="宋体"/>
          <w:color w:val="auto"/>
          <w:sz w:val="21"/>
          <w:szCs w:val="21"/>
          <w:highlight w:val="none"/>
          <w:u w:val="single"/>
          <w:lang w:eastAsia="zh-CN"/>
        </w:rPr>
        <w:t>盐城市大丰区</w:t>
      </w:r>
      <w:r>
        <w:rPr>
          <w:rFonts w:hint="eastAsia" w:ascii="宋体" w:hAnsi="宋体" w:eastAsia="宋体" w:cs="宋体"/>
          <w:color w:val="auto"/>
          <w:sz w:val="21"/>
          <w:szCs w:val="21"/>
          <w:highlight w:val="none"/>
          <w:u w:val="single"/>
          <w:lang w:val="en-US" w:eastAsia="zh-CN"/>
        </w:rPr>
        <w:t>万盈</w:t>
      </w:r>
      <w:r>
        <w:rPr>
          <w:rFonts w:hint="eastAsia" w:ascii="宋体" w:hAnsi="宋体" w:eastAsia="宋体" w:cs="宋体"/>
          <w:color w:val="auto"/>
          <w:sz w:val="21"/>
          <w:szCs w:val="21"/>
          <w:highlight w:val="none"/>
          <w:u w:val="single"/>
          <w:lang w:eastAsia="zh-CN"/>
        </w:rPr>
        <w:t>镇人民政府</w:t>
      </w:r>
    </w:p>
    <w:p w14:paraId="21AFE078">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 方：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3430F97">
      <w:pPr>
        <w:pStyle w:val="2"/>
        <w:spacing w:line="360" w:lineRule="auto"/>
        <w:rPr>
          <w:rFonts w:hint="eastAsia" w:ascii="宋体" w:hAnsi="宋体" w:eastAsia="宋体" w:cs="宋体"/>
          <w:color w:val="auto"/>
          <w:sz w:val="21"/>
          <w:szCs w:val="21"/>
          <w:highlight w:val="none"/>
        </w:rPr>
      </w:pPr>
    </w:p>
    <w:p w14:paraId="6EBA164E">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服务合同的实施过程中创造安全、高效的实施环境，切实搞好本项目的安全管理工作，本项目甲方</w:t>
      </w:r>
      <w:r>
        <w:rPr>
          <w:rFonts w:hint="eastAsia" w:ascii="宋体" w:hAnsi="宋体" w:eastAsia="宋体" w:cs="宋体"/>
          <w:color w:val="auto"/>
          <w:sz w:val="21"/>
          <w:szCs w:val="21"/>
          <w:highlight w:val="none"/>
          <w:lang w:eastAsia="zh-CN"/>
        </w:rPr>
        <w:t>盐城市大丰区万盈镇人民政府</w:t>
      </w:r>
      <w:r>
        <w:rPr>
          <w:rFonts w:hint="eastAsia" w:ascii="宋体" w:hAnsi="宋体" w:eastAsia="宋体" w:cs="宋体"/>
          <w:color w:val="auto"/>
          <w:sz w:val="21"/>
          <w:szCs w:val="21"/>
          <w:highlight w:val="none"/>
        </w:rPr>
        <w:t>（以下简称“甲方”）与供应商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（以下简称“乙方”）特此签订安全生产合同：</w:t>
      </w:r>
    </w:p>
    <w:p w14:paraId="73F69150">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一、甲方职责</w:t>
      </w:r>
    </w:p>
    <w:p w14:paraId="5531A851">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1、严格遵守国家有关安全生产的法律、认真执行项目服务合同中的有关安全要求。</w:t>
      </w:r>
    </w:p>
    <w:p w14:paraId="6D1307CF">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2、不得对乙方提出不符合项目安全生产法律、法规和强制性标准规定要求。</w:t>
      </w:r>
    </w:p>
    <w:p w14:paraId="0E1F8EFB">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3、不得明示或暗示乙方购买、租赁、使用不符合安全项目踏勘或实施过程中要求的安全防护用具、机械设备、施工机具及配件。</w:t>
      </w:r>
    </w:p>
    <w:p w14:paraId="6BBCF38B">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二、乙方职责</w:t>
      </w:r>
    </w:p>
    <w:p w14:paraId="4AD81CD2">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1、乙方应遵守国家安全生产有关管理规定，严格按安全标准进行项目实施，采取一切必要的安全措施，消除事故隐患，确保项目服务过程中的安全，并对服务过程中发生的一切安全问题负责。</w:t>
      </w:r>
    </w:p>
    <w:p w14:paraId="5FD691E8">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2、坚持“安全第一、预防为主”和“管生产必须管安全”的原则，加强安全生产宣传教育，增强全员安全生产意识，建立健全各项安全生产的管理机构和安全生产管理制度。</w:t>
      </w:r>
    </w:p>
    <w:p w14:paraId="45A86785">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3、乙方在任何时候都应采取各种合理的预防措施，防止其员工发生任何违法、违禁、暴力或妨碍治安的行为。</w:t>
      </w:r>
    </w:p>
    <w:p w14:paraId="689824EB">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必须按照本项目特点，组织制定本本项目服务实施中的生产安全专项方案和事故应急救援预案；如果发生安全事故，应按照有关规定，及时上报有关部门，并坚持“三不放过”的原则，严肃处理相关责任。</w:t>
      </w:r>
    </w:p>
    <w:p w14:paraId="2FCD2FC7">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三、违约责任</w:t>
      </w:r>
    </w:p>
    <w:p w14:paraId="6DAEA80D">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1、乙方应对发生在本项目服务期限内的交通安全、安全事故（包括人员）负全部法律责任，并承担由此而发生的一切经济损失。</w:t>
      </w:r>
    </w:p>
    <w:p w14:paraId="6071F4DB">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2、如乙方发生安全事故不及时妥善处理，引起纠纷或诉讼，甲方有权扣留其未付合同价款用于支付事故处理费用。</w:t>
      </w:r>
    </w:p>
    <w:p w14:paraId="0ECB5266">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四、本合同由双方法定代表人／授权代理人签名与加盖公章后生效。</w:t>
      </w:r>
    </w:p>
    <w:p w14:paraId="2924C88E">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甲方：                                     乙方： </w:t>
      </w:r>
    </w:p>
    <w:p w14:paraId="032EBD97">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法定代表人／授权代理人：                  法定代表人／授权代理人：</w:t>
      </w:r>
    </w:p>
    <w:p w14:paraId="332C00B4">
      <w:pPr>
        <w:spacing w:line="360" w:lineRule="auto"/>
        <w:jc w:val="left"/>
        <w:rPr>
          <w:rFonts w:hint="eastAsia" w:ascii="宋体" w:hAnsi="宋体" w:eastAsia="宋体" w:cs="宋体"/>
          <w:color w:val="auto"/>
          <w:sz w:val="21"/>
          <w:szCs w:val="21"/>
          <w:highlight w:val="none"/>
        </w:rPr>
        <w:sectPr>
          <w:footerReference r:id="rId4" w:type="default"/>
          <w:pgSz w:w="11906" w:h="16838"/>
          <w:pgMar w:top="1247" w:right="1385" w:bottom="1134" w:left="1281" w:header="851" w:footer="992" w:gutter="0"/>
          <w:pgNumType w:fmt="decimal"/>
          <w:cols w:space="720" w:num="1"/>
          <w:docGrid w:linePitch="360" w:charSpace="0"/>
        </w:sectPr>
      </w:pPr>
      <w:r>
        <w:rPr>
          <w:rFonts w:hint="eastAsia" w:ascii="宋体" w:hAnsi="宋体" w:eastAsia="宋体" w:cs="宋体"/>
          <w:color w:val="auto"/>
          <w:sz w:val="21"/>
          <w:szCs w:val="21"/>
          <w:highlight w:val="none"/>
        </w:rPr>
        <w:t xml:space="preserve">    签字日期：   年   月   日                 签字日期：   年   月   日</w:t>
      </w:r>
    </w:p>
    <w:p w14:paraId="396EC769">
      <w:pPr>
        <w:spacing w:line="240" w:lineRule="auto"/>
        <w:ind w:firstLine="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政府采购合同履约验收书（参考格式）</w:t>
      </w:r>
    </w:p>
    <w:p w14:paraId="13342518">
      <w:pPr>
        <w:spacing w:line="560" w:lineRule="exact"/>
        <w:ind w:firstLine="6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根据政府采购合同（编号：          ）的约定，我单位组织对</w:t>
      </w:r>
      <w:r>
        <w:rPr>
          <w:rFonts w:hint="eastAsia" w:ascii="宋体" w:hAnsi="宋体" w:eastAsia="宋体" w:cs="宋体"/>
          <w:color w:val="auto"/>
          <w:szCs w:val="32"/>
          <w:highlight w:val="none"/>
          <w:u w:val="single"/>
        </w:rPr>
        <w:t>（项目名称）</w:t>
      </w:r>
      <w:r>
        <w:rPr>
          <w:rFonts w:hint="eastAsia" w:ascii="宋体" w:hAnsi="宋体" w:eastAsia="宋体" w:cs="宋体"/>
          <w:color w:val="auto"/>
          <w:szCs w:val="32"/>
          <w:highlight w:val="none"/>
        </w:rPr>
        <w:t>项目中标（成交）供应商</w:t>
      </w:r>
      <w:r>
        <w:rPr>
          <w:rFonts w:hint="eastAsia" w:ascii="宋体" w:hAnsi="宋体" w:eastAsia="宋体" w:cs="宋体"/>
          <w:color w:val="auto"/>
          <w:szCs w:val="32"/>
          <w:highlight w:val="none"/>
          <w:u w:val="single"/>
        </w:rPr>
        <w:t>（公司名称）</w:t>
      </w:r>
      <w:r>
        <w:rPr>
          <w:rFonts w:hint="eastAsia" w:ascii="宋体" w:hAnsi="宋体" w:eastAsia="宋体" w:cs="宋体"/>
          <w:color w:val="auto"/>
          <w:szCs w:val="32"/>
          <w:highlight w:val="none"/>
        </w:rPr>
        <w:t>提供的货物（工程、服务）进行了履约验收，验收情况如下：</w:t>
      </w:r>
    </w:p>
    <w:tbl>
      <w:tblPr>
        <w:tblStyle w:val="18"/>
        <w:tblW w:w="9132" w:type="dxa"/>
        <w:jc w:val="center"/>
        <w:tblLayout w:type="fixed"/>
        <w:tblCellMar>
          <w:top w:w="0" w:type="dxa"/>
          <w:left w:w="108" w:type="dxa"/>
          <w:bottom w:w="0" w:type="dxa"/>
          <w:right w:w="108" w:type="dxa"/>
        </w:tblCellMar>
      </w:tblPr>
      <w:tblGrid>
        <w:gridCol w:w="1708"/>
        <w:gridCol w:w="3030"/>
        <w:gridCol w:w="1750"/>
        <w:gridCol w:w="2644"/>
      </w:tblGrid>
      <w:tr w14:paraId="72388728">
        <w:tblPrEx>
          <w:tblCellMar>
            <w:top w:w="0" w:type="dxa"/>
            <w:left w:w="108" w:type="dxa"/>
            <w:bottom w:w="0" w:type="dxa"/>
            <w:right w:w="108" w:type="dxa"/>
          </w:tblCellMar>
        </w:tblPrEx>
        <w:trPr>
          <w:trHeight w:val="855" w:hRule="atLeast"/>
          <w:jc w:val="center"/>
        </w:trPr>
        <w:tc>
          <w:tcPr>
            <w:tcW w:w="1708" w:type="dxa"/>
            <w:tcBorders>
              <w:top w:val="single" w:color="auto" w:sz="8" w:space="0"/>
              <w:left w:val="single" w:color="auto" w:sz="8" w:space="0"/>
              <w:bottom w:val="single" w:color="auto" w:sz="4" w:space="0"/>
              <w:right w:val="single" w:color="auto" w:sz="4" w:space="0"/>
            </w:tcBorders>
            <w:noWrap w:val="0"/>
            <w:vAlign w:val="center"/>
          </w:tcPr>
          <w:p w14:paraId="40321FBA">
            <w:pPr>
              <w:spacing w:line="360" w:lineRule="exact"/>
              <w:ind w:firstLine="0"/>
              <w:jc w:val="center"/>
              <w:rPr>
                <w:rFonts w:hint="eastAsia" w:ascii="宋体" w:hAnsi="宋体" w:eastAsia="宋体" w:cs="宋体"/>
                <w:color w:val="auto"/>
                <w:szCs w:val="32"/>
                <w:highlight w:val="none"/>
              </w:rPr>
            </w:pPr>
            <w:r>
              <w:rPr>
                <w:rFonts w:hint="eastAsia" w:ascii="宋体" w:hAnsi="宋体" w:eastAsia="宋体" w:cs="宋体"/>
                <w:color w:val="auto"/>
                <w:szCs w:val="32"/>
                <w:highlight w:val="none"/>
              </w:rPr>
              <w:t>项目名称</w:t>
            </w:r>
          </w:p>
        </w:tc>
        <w:tc>
          <w:tcPr>
            <w:tcW w:w="3030" w:type="dxa"/>
            <w:tcBorders>
              <w:top w:val="single" w:color="auto" w:sz="8" w:space="0"/>
              <w:left w:val="nil"/>
              <w:bottom w:val="single" w:color="auto" w:sz="4" w:space="0"/>
              <w:right w:val="single" w:color="auto" w:sz="4" w:space="0"/>
            </w:tcBorders>
            <w:noWrap w:val="0"/>
            <w:vAlign w:val="center"/>
          </w:tcPr>
          <w:p w14:paraId="79992A78">
            <w:pPr>
              <w:spacing w:line="360" w:lineRule="exact"/>
              <w:ind w:firstLine="0"/>
              <w:jc w:val="center"/>
              <w:rPr>
                <w:rFonts w:hint="eastAsia" w:ascii="宋体" w:hAnsi="宋体" w:eastAsia="宋体" w:cs="宋体"/>
                <w:color w:val="auto"/>
                <w:szCs w:val="32"/>
                <w:highlight w:val="none"/>
              </w:rPr>
            </w:pPr>
          </w:p>
        </w:tc>
        <w:tc>
          <w:tcPr>
            <w:tcW w:w="1750" w:type="dxa"/>
            <w:tcBorders>
              <w:top w:val="single" w:color="auto" w:sz="8" w:space="0"/>
              <w:left w:val="nil"/>
              <w:bottom w:val="single" w:color="auto" w:sz="4" w:space="0"/>
              <w:right w:val="single" w:color="auto" w:sz="4" w:space="0"/>
            </w:tcBorders>
            <w:noWrap w:val="0"/>
            <w:vAlign w:val="center"/>
          </w:tcPr>
          <w:p w14:paraId="567457E4">
            <w:pPr>
              <w:spacing w:line="360" w:lineRule="exact"/>
              <w:ind w:firstLine="0"/>
              <w:jc w:val="center"/>
              <w:rPr>
                <w:rFonts w:hint="eastAsia" w:ascii="宋体" w:hAnsi="宋体" w:eastAsia="宋体" w:cs="宋体"/>
                <w:color w:val="auto"/>
                <w:szCs w:val="32"/>
                <w:highlight w:val="none"/>
              </w:rPr>
            </w:pPr>
            <w:r>
              <w:rPr>
                <w:rFonts w:hint="eastAsia" w:ascii="宋体" w:hAnsi="宋体" w:eastAsia="宋体" w:cs="宋体"/>
                <w:color w:val="auto"/>
                <w:szCs w:val="32"/>
                <w:highlight w:val="none"/>
              </w:rPr>
              <w:t>项目地点</w:t>
            </w:r>
          </w:p>
        </w:tc>
        <w:tc>
          <w:tcPr>
            <w:tcW w:w="2644" w:type="dxa"/>
            <w:tcBorders>
              <w:top w:val="single" w:color="auto" w:sz="8" w:space="0"/>
              <w:left w:val="nil"/>
              <w:bottom w:val="single" w:color="auto" w:sz="4" w:space="0"/>
              <w:right w:val="single" w:color="auto" w:sz="8" w:space="0"/>
            </w:tcBorders>
            <w:noWrap w:val="0"/>
            <w:vAlign w:val="center"/>
          </w:tcPr>
          <w:p w14:paraId="60249CBC">
            <w:pPr>
              <w:spacing w:line="360" w:lineRule="exact"/>
              <w:ind w:firstLine="0"/>
              <w:jc w:val="center"/>
              <w:rPr>
                <w:rFonts w:hint="eastAsia" w:ascii="宋体" w:hAnsi="宋体" w:eastAsia="宋体" w:cs="宋体"/>
                <w:color w:val="auto"/>
                <w:szCs w:val="32"/>
                <w:highlight w:val="none"/>
              </w:rPr>
            </w:pPr>
          </w:p>
        </w:tc>
      </w:tr>
      <w:tr w14:paraId="68EBA499">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noWrap w:val="0"/>
            <w:vAlign w:val="center"/>
          </w:tcPr>
          <w:p w14:paraId="031099EF">
            <w:pPr>
              <w:spacing w:line="360" w:lineRule="exact"/>
              <w:ind w:firstLine="0"/>
              <w:jc w:val="center"/>
              <w:rPr>
                <w:rFonts w:hint="eastAsia" w:ascii="宋体" w:hAnsi="宋体" w:eastAsia="宋体" w:cs="宋体"/>
                <w:color w:val="auto"/>
                <w:szCs w:val="32"/>
                <w:highlight w:val="none"/>
              </w:rPr>
            </w:pPr>
            <w:r>
              <w:rPr>
                <w:rFonts w:hint="eastAsia" w:ascii="宋体" w:hAnsi="宋体" w:eastAsia="宋体" w:cs="宋体"/>
                <w:color w:val="auto"/>
                <w:szCs w:val="32"/>
                <w:highlight w:val="none"/>
              </w:rPr>
              <w:t>预算金额</w:t>
            </w:r>
          </w:p>
        </w:tc>
        <w:tc>
          <w:tcPr>
            <w:tcW w:w="3030" w:type="dxa"/>
            <w:tcBorders>
              <w:top w:val="single" w:color="auto" w:sz="4" w:space="0"/>
              <w:left w:val="nil"/>
              <w:bottom w:val="single" w:color="auto" w:sz="4" w:space="0"/>
              <w:right w:val="single" w:color="auto" w:sz="4" w:space="0"/>
            </w:tcBorders>
            <w:noWrap w:val="0"/>
            <w:vAlign w:val="center"/>
          </w:tcPr>
          <w:p w14:paraId="6B37AD48">
            <w:pPr>
              <w:spacing w:line="360" w:lineRule="exact"/>
              <w:ind w:firstLine="0"/>
              <w:jc w:val="center"/>
              <w:rPr>
                <w:rFonts w:hint="eastAsia" w:ascii="宋体" w:hAnsi="宋体" w:eastAsia="宋体" w:cs="宋体"/>
                <w:color w:val="auto"/>
                <w:szCs w:val="32"/>
                <w:highlight w:val="none"/>
              </w:rPr>
            </w:pPr>
          </w:p>
        </w:tc>
        <w:tc>
          <w:tcPr>
            <w:tcW w:w="1750" w:type="dxa"/>
            <w:tcBorders>
              <w:top w:val="nil"/>
              <w:left w:val="nil"/>
              <w:bottom w:val="nil"/>
              <w:right w:val="nil"/>
            </w:tcBorders>
            <w:noWrap w:val="0"/>
            <w:vAlign w:val="center"/>
          </w:tcPr>
          <w:p w14:paraId="396AA36E">
            <w:pPr>
              <w:spacing w:line="360" w:lineRule="exact"/>
              <w:ind w:firstLine="0"/>
              <w:jc w:val="center"/>
              <w:rPr>
                <w:rFonts w:hint="eastAsia" w:ascii="宋体" w:hAnsi="宋体" w:eastAsia="宋体" w:cs="宋体"/>
                <w:color w:val="auto"/>
                <w:szCs w:val="32"/>
                <w:highlight w:val="none"/>
              </w:rPr>
            </w:pPr>
            <w:r>
              <w:rPr>
                <w:rFonts w:hint="eastAsia" w:ascii="宋体" w:hAnsi="宋体" w:eastAsia="宋体" w:cs="宋体"/>
                <w:color w:val="auto"/>
                <w:szCs w:val="32"/>
                <w:highlight w:val="none"/>
              </w:rPr>
              <w:t>承接单位</w:t>
            </w:r>
          </w:p>
        </w:tc>
        <w:tc>
          <w:tcPr>
            <w:tcW w:w="2644" w:type="dxa"/>
            <w:tcBorders>
              <w:top w:val="nil"/>
              <w:left w:val="single" w:color="auto" w:sz="4" w:space="0"/>
              <w:bottom w:val="single" w:color="auto" w:sz="4" w:space="0"/>
              <w:right w:val="single" w:color="auto" w:sz="8" w:space="0"/>
            </w:tcBorders>
            <w:noWrap w:val="0"/>
            <w:vAlign w:val="center"/>
          </w:tcPr>
          <w:p w14:paraId="3491D3F7">
            <w:pPr>
              <w:spacing w:line="360" w:lineRule="exact"/>
              <w:ind w:firstLine="0"/>
              <w:jc w:val="left"/>
              <w:rPr>
                <w:rFonts w:hint="eastAsia" w:ascii="宋体" w:hAnsi="宋体" w:eastAsia="宋体" w:cs="宋体"/>
                <w:color w:val="auto"/>
                <w:szCs w:val="32"/>
                <w:highlight w:val="none"/>
              </w:rPr>
            </w:pPr>
          </w:p>
        </w:tc>
      </w:tr>
      <w:tr w14:paraId="5D0A54C4">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noWrap w:val="0"/>
            <w:vAlign w:val="center"/>
          </w:tcPr>
          <w:p w14:paraId="4A8E0E00">
            <w:pPr>
              <w:spacing w:line="360" w:lineRule="exact"/>
              <w:ind w:firstLine="0"/>
              <w:jc w:val="center"/>
              <w:rPr>
                <w:rFonts w:hint="eastAsia" w:ascii="宋体" w:hAnsi="宋体" w:eastAsia="宋体" w:cs="宋体"/>
                <w:color w:val="auto"/>
                <w:szCs w:val="32"/>
                <w:highlight w:val="none"/>
              </w:rPr>
            </w:pPr>
            <w:r>
              <w:rPr>
                <w:rFonts w:hint="eastAsia" w:ascii="宋体" w:hAnsi="宋体" w:eastAsia="宋体" w:cs="宋体"/>
                <w:color w:val="auto"/>
                <w:szCs w:val="32"/>
                <w:highlight w:val="none"/>
              </w:rPr>
              <w:t>合同时间</w:t>
            </w:r>
          </w:p>
        </w:tc>
        <w:tc>
          <w:tcPr>
            <w:tcW w:w="3030" w:type="dxa"/>
            <w:tcBorders>
              <w:top w:val="single" w:color="auto" w:sz="4" w:space="0"/>
              <w:left w:val="nil"/>
              <w:bottom w:val="single" w:color="auto" w:sz="4" w:space="0"/>
              <w:right w:val="single" w:color="auto" w:sz="4" w:space="0"/>
            </w:tcBorders>
            <w:noWrap w:val="0"/>
            <w:vAlign w:val="center"/>
          </w:tcPr>
          <w:p w14:paraId="3C042444">
            <w:pPr>
              <w:spacing w:line="360" w:lineRule="exact"/>
              <w:ind w:firstLine="0"/>
              <w:jc w:val="center"/>
              <w:rPr>
                <w:rFonts w:hint="eastAsia" w:ascii="宋体" w:hAnsi="宋体" w:eastAsia="宋体" w:cs="宋体"/>
                <w:color w:val="auto"/>
                <w:szCs w:val="32"/>
                <w:highlight w:val="none"/>
              </w:rPr>
            </w:pPr>
          </w:p>
        </w:tc>
        <w:tc>
          <w:tcPr>
            <w:tcW w:w="1750" w:type="dxa"/>
            <w:tcBorders>
              <w:top w:val="single" w:color="auto" w:sz="4" w:space="0"/>
              <w:left w:val="nil"/>
              <w:bottom w:val="single" w:color="auto" w:sz="4" w:space="0"/>
              <w:right w:val="single" w:color="auto" w:sz="4" w:space="0"/>
            </w:tcBorders>
            <w:noWrap w:val="0"/>
            <w:vAlign w:val="center"/>
          </w:tcPr>
          <w:p w14:paraId="238210BF">
            <w:pPr>
              <w:spacing w:line="360" w:lineRule="exact"/>
              <w:ind w:firstLine="0"/>
              <w:jc w:val="center"/>
              <w:rPr>
                <w:rFonts w:hint="eastAsia" w:ascii="宋体" w:hAnsi="宋体" w:eastAsia="宋体" w:cs="宋体"/>
                <w:color w:val="auto"/>
                <w:szCs w:val="32"/>
                <w:highlight w:val="none"/>
              </w:rPr>
            </w:pPr>
            <w:r>
              <w:rPr>
                <w:rFonts w:hint="eastAsia" w:ascii="宋体" w:hAnsi="宋体" w:eastAsia="宋体" w:cs="宋体"/>
                <w:color w:val="auto"/>
                <w:szCs w:val="32"/>
                <w:highlight w:val="none"/>
              </w:rPr>
              <w:t>项目开始时间</w:t>
            </w:r>
          </w:p>
        </w:tc>
        <w:tc>
          <w:tcPr>
            <w:tcW w:w="2644" w:type="dxa"/>
            <w:tcBorders>
              <w:top w:val="nil"/>
              <w:left w:val="nil"/>
              <w:bottom w:val="single" w:color="auto" w:sz="4" w:space="0"/>
              <w:right w:val="single" w:color="auto" w:sz="8" w:space="0"/>
            </w:tcBorders>
            <w:noWrap w:val="0"/>
            <w:vAlign w:val="center"/>
          </w:tcPr>
          <w:p w14:paraId="1CE46EF0">
            <w:pPr>
              <w:spacing w:line="360" w:lineRule="exact"/>
              <w:ind w:firstLine="0"/>
              <w:jc w:val="center"/>
              <w:rPr>
                <w:rFonts w:hint="eastAsia" w:ascii="宋体" w:hAnsi="宋体" w:eastAsia="宋体" w:cs="宋体"/>
                <w:color w:val="auto"/>
                <w:szCs w:val="32"/>
                <w:highlight w:val="none"/>
              </w:rPr>
            </w:pPr>
          </w:p>
        </w:tc>
      </w:tr>
      <w:tr w14:paraId="34BE2331">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noWrap w:val="0"/>
            <w:vAlign w:val="center"/>
          </w:tcPr>
          <w:p w14:paraId="3DBCB9C8">
            <w:pPr>
              <w:spacing w:line="360" w:lineRule="exact"/>
              <w:ind w:firstLine="0"/>
              <w:jc w:val="center"/>
              <w:rPr>
                <w:rFonts w:hint="eastAsia" w:ascii="宋体" w:hAnsi="宋体" w:eastAsia="宋体" w:cs="宋体"/>
                <w:color w:val="auto"/>
                <w:szCs w:val="32"/>
                <w:highlight w:val="none"/>
              </w:rPr>
            </w:pPr>
            <w:r>
              <w:rPr>
                <w:rFonts w:hint="eastAsia" w:ascii="宋体" w:hAnsi="宋体" w:eastAsia="宋体" w:cs="宋体"/>
                <w:color w:val="auto"/>
                <w:szCs w:val="32"/>
                <w:highlight w:val="none"/>
              </w:rPr>
              <w:t>项目结束时间</w:t>
            </w:r>
          </w:p>
        </w:tc>
        <w:tc>
          <w:tcPr>
            <w:tcW w:w="3030" w:type="dxa"/>
            <w:tcBorders>
              <w:top w:val="single" w:color="auto" w:sz="4" w:space="0"/>
              <w:left w:val="nil"/>
              <w:bottom w:val="single" w:color="auto" w:sz="4" w:space="0"/>
              <w:right w:val="single" w:color="auto" w:sz="4" w:space="0"/>
            </w:tcBorders>
            <w:noWrap w:val="0"/>
            <w:vAlign w:val="center"/>
          </w:tcPr>
          <w:p w14:paraId="3FB09004">
            <w:pPr>
              <w:spacing w:line="360" w:lineRule="exact"/>
              <w:ind w:firstLine="0"/>
              <w:jc w:val="center"/>
              <w:rPr>
                <w:rFonts w:hint="eastAsia" w:ascii="宋体" w:hAnsi="宋体" w:eastAsia="宋体" w:cs="宋体"/>
                <w:color w:val="auto"/>
                <w:szCs w:val="32"/>
                <w:highlight w:val="none"/>
              </w:rPr>
            </w:pPr>
          </w:p>
        </w:tc>
        <w:tc>
          <w:tcPr>
            <w:tcW w:w="1750" w:type="dxa"/>
            <w:tcBorders>
              <w:top w:val="nil"/>
              <w:left w:val="nil"/>
              <w:bottom w:val="single" w:color="auto" w:sz="4" w:space="0"/>
              <w:right w:val="single" w:color="auto" w:sz="4" w:space="0"/>
            </w:tcBorders>
            <w:noWrap w:val="0"/>
            <w:vAlign w:val="center"/>
          </w:tcPr>
          <w:p w14:paraId="420F92F6">
            <w:pPr>
              <w:spacing w:line="360" w:lineRule="exact"/>
              <w:ind w:firstLine="0"/>
              <w:jc w:val="center"/>
              <w:rPr>
                <w:rFonts w:hint="eastAsia" w:ascii="宋体" w:hAnsi="宋体" w:eastAsia="宋体" w:cs="宋体"/>
                <w:color w:val="auto"/>
                <w:szCs w:val="32"/>
                <w:highlight w:val="none"/>
              </w:rPr>
            </w:pPr>
            <w:r>
              <w:rPr>
                <w:rFonts w:hint="eastAsia" w:ascii="宋体" w:hAnsi="宋体" w:eastAsia="宋体" w:cs="宋体"/>
                <w:color w:val="auto"/>
                <w:szCs w:val="32"/>
                <w:highlight w:val="none"/>
              </w:rPr>
              <w:t>项目联系人</w:t>
            </w:r>
          </w:p>
        </w:tc>
        <w:tc>
          <w:tcPr>
            <w:tcW w:w="2644" w:type="dxa"/>
            <w:tcBorders>
              <w:top w:val="nil"/>
              <w:left w:val="nil"/>
              <w:bottom w:val="single" w:color="auto" w:sz="4" w:space="0"/>
              <w:right w:val="single" w:color="auto" w:sz="8" w:space="0"/>
            </w:tcBorders>
            <w:noWrap w:val="0"/>
            <w:vAlign w:val="center"/>
          </w:tcPr>
          <w:p w14:paraId="311A9538">
            <w:pPr>
              <w:spacing w:line="360" w:lineRule="exact"/>
              <w:ind w:firstLine="0"/>
              <w:jc w:val="center"/>
              <w:rPr>
                <w:rFonts w:hint="eastAsia" w:ascii="宋体" w:hAnsi="宋体" w:eastAsia="宋体" w:cs="宋体"/>
                <w:color w:val="auto"/>
                <w:szCs w:val="32"/>
                <w:highlight w:val="none"/>
              </w:rPr>
            </w:pPr>
          </w:p>
        </w:tc>
      </w:tr>
      <w:tr w14:paraId="2C10DDD2">
        <w:tblPrEx>
          <w:tblCellMar>
            <w:top w:w="0" w:type="dxa"/>
            <w:left w:w="108" w:type="dxa"/>
            <w:bottom w:w="0" w:type="dxa"/>
            <w:right w:w="108" w:type="dxa"/>
          </w:tblCellMar>
        </w:tblPrEx>
        <w:trPr>
          <w:trHeight w:val="2480"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0CAE02BE">
            <w:pPr>
              <w:spacing w:line="240" w:lineRule="auto"/>
              <w:ind w:firstLine="0"/>
              <w:jc w:val="center"/>
              <w:rPr>
                <w:rFonts w:hint="eastAsia" w:ascii="宋体" w:hAnsi="宋体" w:eastAsia="宋体" w:cs="宋体"/>
                <w:b/>
                <w:bCs/>
                <w:color w:val="auto"/>
                <w:szCs w:val="32"/>
                <w:highlight w:val="none"/>
              </w:rPr>
            </w:pPr>
            <w:r>
              <w:rPr>
                <w:rFonts w:hint="eastAsia" w:ascii="宋体" w:hAnsi="宋体" w:eastAsia="宋体" w:cs="宋体"/>
                <w:b/>
                <w:bCs/>
                <w:color w:val="auto"/>
                <w:szCs w:val="32"/>
                <w:highlight w:val="none"/>
              </w:rPr>
              <w:t>验收情况和验收意见</w:t>
            </w:r>
          </w:p>
          <w:p w14:paraId="40F55A25">
            <w:pPr>
              <w:spacing w:line="240" w:lineRule="auto"/>
              <w:ind w:firstLine="0"/>
              <w:rPr>
                <w:rFonts w:hint="eastAsia" w:ascii="宋体" w:hAnsi="宋体" w:eastAsia="宋体" w:cs="宋体"/>
                <w:color w:val="auto"/>
                <w:szCs w:val="32"/>
                <w:highlight w:val="none"/>
              </w:rPr>
            </w:pPr>
            <w:r>
              <w:rPr>
                <w:rFonts w:hint="eastAsia" w:ascii="宋体" w:hAnsi="宋体" w:eastAsia="宋体" w:cs="宋体"/>
                <w:color w:val="auto"/>
                <w:szCs w:val="32"/>
                <w:highlight w:val="none"/>
              </w:rPr>
              <w:t>（可另附）</w:t>
            </w:r>
          </w:p>
          <w:p w14:paraId="12F2C280">
            <w:pPr>
              <w:spacing w:line="240" w:lineRule="auto"/>
              <w:ind w:firstLine="0"/>
              <w:rPr>
                <w:rFonts w:hint="eastAsia" w:ascii="宋体" w:hAnsi="宋体" w:eastAsia="宋体" w:cs="宋体"/>
                <w:color w:val="auto"/>
                <w:szCs w:val="32"/>
                <w:highlight w:val="none"/>
              </w:rPr>
            </w:pPr>
          </w:p>
          <w:p w14:paraId="7F865816">
            <w:pPr>
              <w:spacing w:line="240" w:lineRule="auto"/>
              <w:ind w:firstLine="0"/>
              <w:rPr>
                <w:rFonts w:hint="eastAsia" w:ascii="宋体" w:hAnsi="宋体" w:eastAsia="宋体" w:cs="宋体"/>
                <w:color w:val="auto"/>
                <w:szCs w:val="32"/>
                <w:highlight w:val="none"/>
              </w:rPr>
            </w:pPr>
          </w:p>
          <w:p w14:paraId="12137E50">
            <w:pPr>
              <w:spacing w:line="240" w:lineRule="auto"/>
              <w:ind w:firstLine="0"/>
              <w:rPr>
                <w:rFonts w:hint="eastAsia" w:ascii="宋体" w:hAnsi="宋体" w:eastAsia="宋体" w:cs="宋体"/>
                <w:color w:val="auto"/>
                <w:szCs w:val="32"/>
                <w:highlight w:val="none"/>
              </w:rPr>
            </w:pPr>
          </w:p>
          <w:p w14:paraId="1E3A9D93">
            <w:pPr>
              <w:spacing w:line="240" w:lineRule="auto"/>
              <w:ind w:firstLine="420"/>
              <w:rPr>
                <w:rFonts w:hint="eastAsia" w:ascii="宋体" w:hAnsi="宋体" w:eastAsia="宋体" w:cs="宋体"/>
                <w:color w:val="auto"/>
                <w:szCs w:val="32"/>
                <w:highlight w:val="none"/>
              </w:rPr>
            </w:pPr>
          </w:p>
        </w:tc>
      </w:tr>
      <w:tr w14:paraId="06FB5A8A">
        <w:tblPrEx>
          <w:tblCellMar>
            <w:top w:w="0" w:type="dxa"/>
            <w:left w:w="108" w:type="dxa"/>
            <w:bottom w:w="0" w:type="dxa"/>
            <w:right w:w="108" w:type="dxa"/>
          </w:tblCellMar>
        </w:tblPrEx>
        <w:trPr>
          <w:trHeight w:val="567"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4A0DDF28">
            <w:pPr>
              <w:spacing w:line="240" w:lineRule="auto"/>
              <w:ind w:firstLine="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验收小组（签字）：</w:t>
            </w:r>
          </w:p>
          <w:p w14:paraId="5679F97E">
            <w:pPr>
              <w:spacing w:line="240" w:lineRule="auto"/>
              <w:ind w:firstLine="0"/>
              <w:jc w:val="left"/>
              <w:rPr>
                <w:rFonts w:hint="eastAsia" w:ascii="宋体" w:hAnsi="宋体" w:eastAsia="宋体" w:cs="宋体"/>
                <w:color w:val="auto"/>
                <w:szCs w:val="32"/>
                <w:highlight w:val="none"/>
              </w:rPr>
            </w:pPr>
          </w:p>
          <w:p w14:paraId="49AE2C0A">
            <w:pPr>
              <w:spacing w:line="240" w:lineRule="auto"/>
              <w:ind w:firstLine="0"/>
              <w:jc w:val="left"/>
              <w:rPr>
                <w:rFonts w:hint="eastAsia" w:ascii="宋体" w:hAnsi="宋体" w:eastAsia="宋体" w:cs="宋体"/>
                <w:color w:val="auto"/>
                <w:szCs w:val="32"/>
                <w:highlight w:val="none"/>
              </w:rPr>
            </w:pPr>
          </w:p>
          <w:p w14:paraId="49096EB8">
            <w:pPr>
              <w:spacing w:line="240" w:lineRule="auto"/>
              <w:ind w:firstLine="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　　</w:t>
            </w:r>
          </w:p>
          <w:p w14:paraId="2F591FB6">
            <w:pPr>
              <w:spacing w:line="240" w:lineRule="auto"/>
              <w:ind w:firstLine="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br w:type="textWrapping"/>
            </w:r>
            <w:r>
              <w:rPr>
                <w:rFonts w:hint="eastAsia" w:ascii="宋体" w:hAnsi="宋体" w:eastAsia="宋体" w:cs="宋体"/>
                <w:color w:val="auto"/>
                <w:szCs w:val="32"/>
                <w:highlight w:val="none"/>
              </w:rPr>
              <w:t>　　　　　                              年    月    日</w:t>
            </w:r>
          </w:p>
        </w:tc>
      </w:tr>
      <w:tr w14:paraId="4A24C6BE">
        <w:tblPrEx>
          <w:tblCellMar>
            <w:top w:w="0" w:type="dxa"/>
            <w:left w:w="108" w:type="dxa"/>
            <w:bottom w:w="0" w:type="dxa"/>
            <w:right w:w="108" w:type="dxa"/>
          </w:tblCellMar>
        </w:tblPrEx>
        <w:trPr>
          <w:trHeight w:val="567"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1CD4EF22">
            <w:pPr>
              <w:spacing w:line="240" w:lineRule="auto"/>
              <w:ind w:firstLine="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供应商确认意见（签章）：</w:t>
            </w:r>
          </w:p>
          <w:p w14:paraId="649310BB">
            <w:pPr>
              <w:spacing w:line="240" w:lineRule="auto"/>
              <w:ind w:firstLine="0"/>
              <w:jc w:val="left"/>
              <w:rPr>
                <w:rFonts w:hint="eastAsia" w:ascii="宋体" w:hAnsi="宋体" w:eastAsia="宋体" w:cs="宋体"/>
                <w:color w:val="auto"/>
                <w:szCs w:val="32"/>
                <w:highlight w:val="none"/>
              </w:rPr>
            </w:pPr>
          </w:p>
          <w:p w14:paraId="19118878">
            <w:pPr>
              <w:spacing w:line="240" w:lineRule="auto"/>
              <w:ind w:firstLine="0"/>
              <w:jc w:val="left"/>
              <w:rPr>
                <w:rFonts w:hint="eastAsia" w:ascii="宋体" w:hAnsi="宋体" w:eastAsia="宋体" w:cs="宋体"/>
                <w:color w:val="auto"/>
                <w:szCs w:val="32"/>
                <w:highlight w:val="none"/>
              </w:rPr>
            </w:pPr>
          </w:p>
          <w:p w14:paraId="7AD05C0B">
            <w:pPr>
              <w:spacing w:line="240" w:lineRule="auto"/>
              <w:ind w:firstLine="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br w:type="textWrapping"/>
            </w:r>
            <w:r>
              <w:rPr>
                <w:rFonts w:hint="eastAsia" w:ascii="宋体" w:hAnsi="宋体" w:eastAsia="宋体" w:cs="宋体"/>
                <w:color w:val="auto"/>
                <w:szCs w:val="32"/>
                <w:highlight w:val="none"/>
              </w:rPr>
              <w:t>　　　　　                              年    月    日</w:t>
            </w:r>
          </w:p>
        </w:tc>
      </w:tr>
      <w:tr w14:paraId="1DC9F9E0">
        <w:tblPrEx>
          <w:tblCellMar>
            <w:top w:w="0" w:type="dxa"/>
            <w:left w:w="108" w:type="dxa"/>
            <w:bottom w:w="0" w:type="dxa"/>
            <w:right w:w="108" w:type="dxa"/>
          </w:tblCellMar>
        </w:tblPrEx>
        <w:trPr>
          <w:trHeight w:val="567"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1B4CD589">
            <w:pPr>
              <w:spacing w:line="240" w:lineRule="auto"/>
              <w:ind w:firstLine="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采购人确认意见（签章）：</w:t>
            </w:r>
          </w:p>
          <w:p w14:paraId="532B9FB9">
            <w:pPr>
              <w:spacing w:line="240" w:lineRule="auto"/>
              <w:ind w:firstLine="0"/>
              <w:jc w:val="left"/>
              <w:rPr>
                <w:rFonts w:hint="eastAsia" w:ascii="宋体" w:hAnsi="宋体" w:eastAsia="宋体" w:cs="宋体"/>
                <w:color w:val="auto"/>
                <w:szCs w:val="32"/>
                <w:highlight w:val="none"/>
              </w:rPr>
            </w:pPr>
          </w:p>
          <w:p w14:paraId="37E80DF7">
            <w:pPr>
              <w:spacing w:line="240" w:lineRule="auto"/>
              <w:ind w:firstLine="0"/>
              <w:jc w:val="left"/>
              <w:rPr>
                <w:rFonts w:hint="eastAsia" w:ascii="宋体" w:hAnsi="宋体" w:eastAsia="宋体" w:cs="宋体"/>
                <w:color w:val="auto"/>
                <w:szCs w:val="32"/>
                <w:highlight w:val="none"/>
              </w:rPr>
            </w:pPr>
          </w:p>
          <w:p w14:paraId="75527128">
            <w:pPr>
              <w:spacing w:line="240" w:lineRule="auto"/>
              <w:ind w:firstLine="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　　</w:t>
            </w:r>
            <w:r>
              <w:rPr>
                <w:rFonts w:hint="eastAsia" w:ascii="宋体" w:hAnsi="宋体" w:eastAsia="宋体" w:cs="宋体"/>
                <w:color w:val="auto"/>
                <w:szCs w:val="32"/>
                <w:highlight w:val="none"/>
              </w:rPr>
              <w:br w:type="textWrapping"/>
            </w:r>
            <w:r>
              <w:rPr>
                <w:rFonts w:hint="eastAsia" w:ascii="宋体" w:hAnsi="宋体" w:eastAsia="宋体" w:cs="宋体"/>
                <w:color w:val="auto"/>
                <w:szCs w:val="32"/>
                <w:highlight w:val="none"/>
              </w:rPr>
              <w:t>　　　　　                              年    月    日</w:t>
            </w:r>
          </w:p>
        </w:tc>
      </w:tr>
    </w:tbl>
    <w:p w14:paraId="5FA01D9E">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宋体" w:hAnsi="宋体" w:eastAsia="宋体" w:cs="宋体"/>
          <w:color w:val="000000"/>
          <w:sz w:val="44"/>
          <w:szCs w:val="44"/>
          <w:highlight w:val="none"/>
        </w:rPr>
      </w:pPr>
    </w:p>
    <w:p w14:paraId="3BB5D04C">
      <w:pPr>
        <w:spacing w:before="165" w:line="220" w:lineRule="auto"/>
        <w:ind w:left="1410"/>
        <w:outlineLvl w:val="1"/>
        <w:rPr>
          <w:rFonts w:ascii="Microsoft JhengHei" w:hAnsi="Microsoft JhengHei" w:eastAsia="Microsoft JhengHei" w:cs="Microsoft JhengHei"/>
          <w:i w:val="0"/>
          <w:iCs w:val="0"/>
          <w:color w:val="auto"/>
          <w:spacing w:val="17"/>
          <w:sz w:val="36"/>
          <w:szCs w:val="36"/>
          <w:highlight w:val="none"/>
        </w:rPr>
      </w:pPr>
    </w:p>
    <w:p w14:paraId="353EA62B">
      <w:pPr>
        <w:spacing w:before="165" w:line="220" w:lineRule="auto"/>
        <w:ind w:left="1410"/>
        <w:outlineLvl w:val="1"/>
        <w:rPr>
          <w:rFonts w:ascii="Microsoft JhengHei" w:hAnsi="Microsoft JhengHei" w:eastAsia="Microsoft JhengHei" w:cs="Microsoft JhengHei"/>
          <w:i w:val="0"/>
          <w:iCs w:val="0"/>
          <w:color w:val="auto"/>
          <w:sz w:val="36"/>
          <w:szCs w:val="36"/>
          <w:highlight w:val="none"/>
        </w:rPr>
      </w:pPr>
      <w:r>
        <w:rPr>
          <w:rFonts w:ascii="Microsoft JhengHei" w:hAnsi="Microsoft JhengHei" w:eastAsia="Microsoft JhengHei" w:cs="Microsoft JhengHei"/>
          <w:i w:val="0"/>
          <w:iCs w:val="0"/>
          <w:color w:val="auto"/>
          <w:spacing w:val="17"/>
          <w:sz w:val="36"/>
          <w:szCs w:val="36"/>
          <w:highlight w:val="none"/>
        </w:rPr>
        <w:t>政府采购履约验收通知单（参考样本）</w:t>
      </w:r>
    </w:p>
    <w:p w14:paraId="683C31CC">
      <w:pPr>
        <w:spacing w:before="217" w:line="188" w:lineRule="auto"/>
        <w:ind w:left="85"/>
        <w:rPr>
          <w:rFonts w:hint="eastAsia" w:ascii="宋体" w:hAnsi="宋体" w:eastAsia="宋体" w:cs="宋体"/>
          <w:i w:val="0"/>
          <w:iCs w:val="0"/>
          <w:color w:val="auto"/>
          <w:sz w:val="23"/>
          <w:szCs w:val="23"/>
          <w:highlight w:val="none"/>
        </w:rPr>
      </w:pPr>
      <w:r>
        <w:rPr>
          <w:rFonts w:hint="eastAsia" w:ascii="宋体" w:hAnsi="宋体" w:eastAsia="宋体" w:cs="宋体"/>
          <w:i w:val="0"/>
          <w:iCs w:val="0"/>
          <w:color w:val="auto"/>
          <w:spacing w:val="9"/>
          <w:sz w:val="23"/>
          <w:szCs w:val="23"/>
          <w:highlight w:val="none"/>
        </w:rPr>
        <w:t>供应商：</w:t>
      </w:r>
    </w:p>
    <w:tbl>
      <w:tblPr>
        <w:tblStyle w:val="39"/>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61F38B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noWrap w:val="0"/>
            <w:vAlign w:val="top"/>
          </w:tcPr>
          <w:p w14:paraId="41BA2FEA">
            <w:pPr>
              <w:spacing w:before="250" w:line="182" w:lineRule="auto"/>
              <w:ind w:left="961"/>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pacing w:val="2"/>
                <w:sz w:val="21"/>
                <w:szCs w:val="21"/>
                <w:highlight w:val="none"/>
              </w:rPr>
              <w:t>采购人</w:t>
            </w:r>
          </w:p>
        </w:tc>
        <w:tc>
          <w:tcPr>
            <w:tcW w:w="6708" w:type="dxa"/>
            <w:gridSpan w:val="3"/>
            <w:noWrap w:val="0"/>
            <w:vAlign w:val="top"/>
          </w:tcPr>
          <w:p w14:paraId="7C8616B8">
            <w:pPr>
              <w:pStyle w:val="40"/>
              <w:rPr>
                <w:rFonts w:hint="eastAsia" w:ascii="宋体" w:hAnsi="宋体" w:eastAsia="宋体" w:cs="宋体"/>
                <w:i w:val="0"/>
                <w:iCs w:val="0"/>
                <w:color w:val="auto"/>
                <w:sz w:val="21"/>
                <w:szCs w:val="21"/>
                <w:highlight w:val="none"/>
              </w:rPr>
            </w:pPr>
          </w:p>
        </w:tc>
      </w:tr>
      <w:tr w14:paraId="070340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vAlign w:val="top"/>
          </w:tcPr>
          <w:p w14:paraId="2BED6933">
            <w:pPr>
              <w:spacing w:before="250" w:line="181" w:lineRule="auto"/>
              <w:ind w:left="841"/>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pacing w:val="2"/>
                <w:sz w:val="21"/>
                <w:szCs w:val="21"/>
                <w:highlight w:val="none"/>
              </w:rPr>
              <w:t>项目名称</w:t>
            </w:r>
          </w:p>
        </w:tc>
        <w:tc>
          <w:tcPr>
            <w:tcW w:w="6708" w:type="dxa"/>
            <w:gridSpan w:val="3"/>
            <w:noWrap w:val="0"/>
            <w:vAlign w:val="top"/>
          </w:tcPr>
          <w:p w14:paraId="5C8AB95A">
            <w:pPr>
              <w:pStyle w:val="40"/>
              <w:rPr>
                <w:rFonts w:hint="eastAsia" w:ascii="宋体" w:hAnsi="宋体" w:eastAsia="宋体" w:cs="宋体"/>
                <w:i w:val="0"/>
                <w:iCs w:val="0"/>
                <w:color w:val="auto"/>
                <w:sz w:val="21"/>
                <w:szCs w:val="21"/>
                <w:highlight w:val="none"/>
              </w:rPr>
            </w:pPr>
          </w:p>
        </w:tc>
      </w:tr>
      <w:tr w14:paraId="2E42A7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noWrap w:val="0"/>
            <w:vAlign w:val="top"/>
          </w:tcPr>
          <w:p w14:paraId="063850E5">
            <w:pPr>
              <w:spacing w:before="247" w:line="182" w:lineRule="auto"/>
              <w:ind w:left="841"/>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pacing w:val="2"/>
                <w:sz w:val="21"/>
                <w:szCs w:val="21"/>
                <w:highlight w:val="none"/>
              </w:rPr>
              <w:t>合同名称</w:t>
            </w:r>
          </w:p>
        </w:tc>
        <w:tc>
          <w:tcPr>
            <w:tcW w:w="6708" w:type="dxa"/>
            <w:gridSpan w:val="3"/>
            <w:noWrap w:val="0"/>
            <w:vAlign w:val="top"/>
          </w:tcPr>
          <w:p w14:paraId="2687A093">
            <w:pPr>
              <w:pStyle w:val="40"/>
              <w:rPr>
                <w:rFonts w:hint="eastAsia" w:ascii="宋体" w:hAnsi="宋体" w:eastAsia="宋体" w:cs="宋体"/>
                <w:i w:val="0"/>
                <w:iCs w:val="0"/>
                <w:color w:val="auto"/>
                <w:sz w:val="21"/>
                <w:szCs w:val="21"/>
                <w:highlight w:val="none"/>
              </w:rPr>
            </w:pPr>
          </w:p>
        </w:tc>
      </w:tr>
      <w:tr w14:paraId="30C338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vAlign w:val="top"/>
          </w:tcPr>
          <w:p w14:paraId="13F9094B">
            <w:pPr>
              <w:spacing w:before="248" w:line="182" w:lineRule="auto"/>
              <w:ind w:left="841"/>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pacing w:val="2"/>
                <w:sz w:val="21"/>
                <w:szCs w:val="21"/>
                <w:highlight w:val="none"/>
              </w:rPr>
              <w:t>合同编号</w:t>
            </w:r>
          </w:p>
        </w:tc>
        <w:tc>
          <w:tcPr>
            <w:tcW w:w="1961" w:type="dxa"/>
            <w:noWrap w:val="0"/>
            <w:vAlign w:val="top"/>
          </w:tcPr>
          <w:p w14:paraId="1E004BD0">
            <w:pPr>
              <w:pStyle w:val="40"/>
              <w:rPr>
                <w:rFonts w:hint="eastAsia" w:ascii="宋体" w:hAnsi="宋体" w:eastAsia="宋体" w:cs="宋体"/>
                <w:i w:val="0"/>
                <w:iCs w:val="0"/>
                <w:color w:val="auto"/>
                <w:sz w:val="21"/>
                <w:szCs w:val="21"/>
                <w:highlight w:val="none"/>
              </w:rPr>
            </w:pPr>
          </w:p>
        </w:tc>
        <w:tc>
          <w:tcPr>
            <w:tcW w:w="2139" w:type="dxa"/>
            <w:noWrap w:val="0"/>
            <w:vAlign w:val="top"/>
          </w:tcPr>
          <w:p w14:paraId="43C82185">
            <w:pPr>
              <w:spacing w:before="248" w:line="182" w:lineRule="auto"/>
              <w:ind w:left="607"/>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pacing w:val="2"/>
                <w:sz w:val="21"/>
                <w:szCs w:val="21"/>
                <w:highlight w:val="none"/>
              </w:rPr>
              <w:t>合同金额</w:t>
            </w:r>
          </w:p>
        </w:tc>
        <w:tc>
          <w:tcPr>
            <w:tcW w:w="2608" w:type="dxa"/>
            <w:noWrap w:val="0"/>
            <w:vAlign w:val="top"/>
          </w:tcPr>
          <w:p w14:paraId="673253BF">
            <w:pPr>
              <w:pStyle w:val="40"/>
              <w:rPr>
                <w:rFonts w:hint="eastAsia" w:ascii="宋体" w:hAnsi="宋体" w:eastAsia="宋体" w:cs="宋体"/>
                <w:i w:val="0"/>
                <w:iCs w:val="0"/>
                <w:color w:val="auto"/>
                <w:sz w:val="21"/>
                <w:szCs w:val="21"/>
                <w:highlight w:val="none"/>
              </w:rPr>
            </w:pPr>
          </w:p>
        </w:tc>
      </w:tr>
      <w:tr w14:paraId="6D4B7F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noWrap w:val="0"/>
            <w:vAlign w:val="top"/>
          </w:tcPr>
          <w:p w14:paraId="243F9C87">
            <w:pPr>
              <w:spacing w:before="249" w:line="181" w:lineRule="auto"/>
              <w:ind w:left="841"/>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pacing w:val="4"/>
                <w:sz w:val="21"/>
                <w:szCs w:val="21"/>
                <w:highlight w:val="none"/>
              </w:rPr>
              <w:t>验收时间</w:t>
            </w:r>
          </w:p>
        </w:tc>
        <w:tc>
          <w:tcPr>
            <w:tcW w:w="1961" w:type="dxa"/>
            <w:noWrap w:val="0"/>
            <w:vAlign w:val="top"/>
          </w:tcPr>
          <w:p w14:paraId="42056CC9">
            <w:pPr>
              <w:pStyle w:val="40"/>
              <w:rPr>
                <w:rFonts w:hint="eastAsia" w:ascii="宋体" w:hAnsi="宋体" w:eastAsia="宋体" w:cs="宋体"/>
                <w:i w:val="0"/>
                <w:iCs w:val="0"/>
                <w:color w:val="auto"/>
                <w:sz w:val="21"/>
                <w:szCs w:val="21"/>
                <w:highlight w:val="none"/>
              </w:rPr>
            </w:pPr>
          </w:p>
        </w:tc>
        <w:tc>
          <w:tcPr>
            <w:tcW w:w="2139" w:type="dxa"/>
            <w:noWrap w:val="0"/>
            <w:vAlign w:val="top"/>
          </w:tcPr>
          <w:p w14:paraId="0D3FF965">
            <w:pPr>
              <w:spacing w:before="249" w:line="181" w:lineRule="auto"/>
              <w:ind w:left="607"/>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pacing w:val="4"/>
                <w:sz w:val="21"/>
                <w:szCs w:val="21"/>
                <w:highlight w:val="none"/>
              </w:rPr>
              <w:t>验收地点</w:t>
            </w:r>
          </w:p>
        </w:tc>
        <w:tc>
          <w:tcPr>
            <w:tcW w:w="2608" w:type="dxa"/>
            <w:noWrap w:val="0"/>
            <w:vAlign w:val="top"/>
          </w:tcPr>
          <w:p w14:paraId="5C676CDE">
            <w:pPr>
              <w:pStyle w:val="40"/>
              <w:rPr>
                <w:rFonts w:hint="eastAsia" w:ascii="宋体" w:hAnsi="宋体" w:eastAsia="宋体" w:cs="宋体"/>
                <w:i w:val="0"/>
                <w:iCs w:val="0"/>
                <w:color w:val="auto"/>
                <w:sz w:val="21"/>
                <w:szCs w:val="21"/>
                <w:highlight w:val="none"/>
              </w:rPr>
            </w:pPr>
          </w:p>
        </w:tc>
      </w:tr>
      <w:tr w14:paraId="25F704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vAlign w:val="top"/>
          </w:tcPr>
          <w:p w14:paraId="1A713BC2">
            <w:pPr>
              <w:spacing w:before="248" w:line="182" w:lineRule="auto"/>
              <w:ind w:left="96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pacing w:val="1"/>
                <w:sz w:val="21"/>
                <w:szCs w:val="21"/>
                <w:highlight w:val="none"/>
              </w:rPr>
              <w:t>联系人</w:t>
            </w:r>
          </w:p>
        </w:tc>
        <w:tc>
          <w:tcPr>
            <w:tcW w:w="1961" w:type="dxa"/>
            <w:noWrap w:val="0"/>
            <w:vAlign w:val="top"/>
          </w:tcPr>
          <w:p w14:paraId="7CFE9123">
            <w:pPr>
              <w:pStyle w:val="40"/>
              <w:rPr>
                <w:rFonts w:hint="eastAsia" w:ascii="宋体" w:hAnsi="宋体" w:eastAsia="宋体" w:cs="宋体"/>
                <w:i w:val="0"/>
                <w:iCs w:val="0"/>
                <w:color w:val="auto"/>
                <w:sz w:val="21"/>
                <w:szCs w:val="21"/>
                <w:highlight w:val="none"/>
              </w:rPr>
            </w:pPr>
          </w:p>
        </w:tc>
        <w:tc>
          <w:tcPr>
            <w:tcW w:w="2139" w:type="dxa"/>
            <w:noWrap w:val="0"/>
            <w:vAlign w:val="top"/>
          </w:tcPr>
          <w:p w14:paraId="39D90F59">
            <w:pPr>
              <w:spacing w:before="248" w:line="182" w:lineRule="auto"/>
              <w:ind w:left="605"/>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pacing w:val="3"/>
                <w:sz w:val="21"/>
                <w:szCs w:val="21"/>
                <w:highlight w:val="none"/>
              </w:rPr>
              <w:t>联系电话</w:t>
            </w:r>
          </w:p>
        </w:tc>
        <w:tc>
          <w:tcPr>
            <w:tcW w:w="2608" w:type="dxa"/>
            <w:noWrap w:val="0"/>
            <w:vAlign w:val="top"/>
          </w:tcPr>
          <w:p w14:paraId="6083D4AF">
            <w:pPr>
              <w:pStyle w:val="40"/>
              <w:rPr>
                <w:rFonts w:hint="eastAsia" w:ascii="宋体" w:hAnsi="宋体" w:eastAsia="宋体" w:cs="宋体"/>
                <w:i w:val="0"/>
                <w:iCs w:val="0"/>
                <w:color w:val="auto"/>
                <w:sz w:val="21"/>
                <w:szCs w:val="21"/>
                <w:highlight w:val="none"/>
              </w:rPr>
            </w:pPr>
          </w:p>
        </w:tc>
      </w:tr>
      <w:tr w14:paraId="1E5963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noWrap w:val="0"/>
            <w:vAlign w:val="top"/>
          </w:tcPr>
          <w:p w14:paraId="3ABEA8B9">
            <w:pPr>
              <w:spacing w:before="250" w:line="181" w:lineRule="auto"/>
              <w:ind w:left="3353"/>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pacing w:val="7"/>
                <w:sz w:val="21"/>
                <w:szCs w:val="21"/>
                <w:highlight w:val="none"/>
              </w:rPr>
              <w:t>履约验收方案及工作要求</w:t>
            </w:r>
          </w:p>
        </w:tc>
      </w:tr>
      <w:tr w14:paraId="186E3C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9" w:hRule="atLeast"/>
        </w:trPr>
        <w:tc>
          <w:tcPr>
            <w:tcW w:w="9318" w:type="dxa"/>
            <w:gridSpan w:val="4"/>
            <w:noWrap w:val="0"/>
            <w:vAlign w:val="top"/>
          </w:tcPr>
          <w:p w14:paraId="0E85CA83">
            <w:pPr>
              <w:pStyle w:val="40"/>
              <w:spacing w:line="253" w:lineRule="auto"/>
              <w:rPr>
                <w:rFonts w:hint="eastAsia" w:ascii="宋体" w:hAnsi="宋体" w:eastAsia="宋体" w:cs="宋体"/>
                <w:i w:val="0"/>
                <w:iCs w:val="0"/>
                <w:color w:val="auto"/>
                <w:sz w:val="21"/>
                <w:szCs w:val="21"/>
                <w:highlight w:val="none"/>
              </w:rPr>
            </w:pPr>
          </w:p>
          <w:p w14:paraId="4886FD79">
            <w:pPr>
              <w:pStyle w:val="40"/>
              <w:spacing w:line="253" w:lineRule="auto"/>
              <w:rPr>
                <w:rFonts w:hint="eastAsia" w:ascii="宋体" w:hAnsi="宋体" w:eastAsia="宋体" w:cs="宋体"/>
                <w:i w:val="0"/>
                <w:iCs w:val="0"/>
                <w:color w:val="auto"/>
                <w:sz w:val="21"/>
                <w:szCs w:val="21"/>
                <w:highlight w:val="none"/>
              </w:rPr>
            </w:pPr>
          </w:p>
          <w:p w14:paraId="74DE4D32">
            <w:pPr>
              <w:pStyle w:val="40"/>
              <w:spacing w:line="253" w:lineRule="auto"/>
              <w:rPr>
                <w:rFonts w:hint="eastAsia" w:ascii="宋体" w:hAnsi="宋体" w:eastAsia="宋体" w:cs="宋体"/>
                <w:i w:val="0"/>
                <w:iCs w:val="0"/>
                <w:color w:val="auto"/>
                <w:sz w:val="21"/>
                <w:szCs w:val="21"/>
                <w:highlight w:val="none"/>
              </w:rPr>
            </w:pPr>
          </w:p>
          <w:p w14:paraId="13C88144">
            <w:pPr>
              <w:pStyle w:val="40"/>
              <w:spacing w:line="254" w:lineRule="auto"/>
              <w:rPr>
                <w:rFonts w:hint="eastAsia" w:ascii="宋体" w:hAnsi="宋体" w:eastAsia="宋体" w:cs="宋体"/>
                <w:i w:val="0"/>
                <w:iCs w:val="0"/>
                <w:color w:val="auto"/>
                <w:sz w:val="21"/>
                <w:szCs w:val="21"/>
                <w:highlight w:val="none"/>
              </w:rPr>
            </w:pPr>
          </w:p>
          <w:p w14:paraId="5B7A9F9B">
            <w:pPr>
              <w:pStyle w:val="40"/>
              <w:spacing w:line="254" w:lineRule="auto"/>
              <w:rPr>
                <w:rFonts w:hint="eastAsia" w:ascii="宋体" w:hAnsi="宋体" w:eastAsia="宋体" w:cs="宋体"/>
                <w:i w:val="0"/>
                <w:iCs w:val="0"/>
                <w:color w:val="auto"/>
                <w:sz w:val="21"/>
                <w:szCs w:val="21"/>
                <w:highlight w:val="none"/>
              </w:rPr>
            </w:pPr>
          </w:p>
          <w:p w14:paraId="4EE015AA">
            <w:pPr>
              <w:pStyle w:val="40"/>
              <w:spacing w:line="254" w:lineRule="auto"/>
              <w:rPr>
                <w:rFonts w:hint="eastAsia" w:ascii="宋体" w:hAnsi="宋体" w:eastAsia="宋体" w:cs="宋体"/>
                <w:i w:val="0"/>
                <w:iCs w:val="0"/>
                <w:color w:val="auto"/>
                <w:sz w:val="21"/>
                <w:szCs w:val="21"/>
                <w:highlight w:val="none"/>
              </w:rPr>
            </w:pPr>
          </w:p>
          <w:p w14:paraId="6C3A9E0E">
            <w:pPr>
              <w:pStyle w:val="40"/>
              <w:spacing w:line="254" w:lineRule="auto"/>
              <w:rPr>
                <w:rFonts w:hint="eastAsia" w:ascii="宋体" w:hAnsi="宋体" w:eastAsia="宋体" w:cs="宋体"/>
                <w:i w:val="0"/>
                <w:iCs w:val="0"/>
                <w:color w:val="auto"/>
                <w:sz w:val="21"/>
                <w:szCs w:val="21"/>
                <w:highlight w:val="none"/>
              </w:rPr>
            </w:pPr>
          </w:p>
          <w:p w14:paraId="32F50E3C">
            <w:pPr>
              <w:pStyle w:val="40"/>
              <w:spacing w:line="254" w:lineRule="auto"/>
              <w:rPr>
                <w:rFonts w:hint="eastAsia" w:ascii="宋体" w:hAnsi="宋体" w:eastAsia="宋体" w:cs="宋体"/>
                <w:i w:val="0"/>
                <w:iCs w:val="0"/>
                <w:color w:val="auto"/>
                <w:sz w:val="21"/>
                <w:szCs w:val="21"/>
                <w:highlight w:val="none"/>
              </w:rPr>
            </w:pPr>
          </w:p>
          <w:p w14:paraId="639596BF">
            <w:pPr>
              <w:pStyle w:val="40"/>
              <w:spacing w:line="254" w:lineRule="auto"/>
              <w:rPr>
                <w:rFonts w:hint="eastAsia" w:ascii="宋体" w:hAnsi="宋体" w:eastAsia="宋体" w:cs="宋体"/>
                <w:i w:val="0"/>
                <w:iCs w:val="0"/>
                <w:color w:val="auto"/>
                <w:sz w:val="21"/>
                <w:szCs w:val="21"/>
                <w:highlight w:val="none"/>
              </w:rPr>
            </w:pPr>
          </w:p>
          <w:p w14:paraId="6F5B3967">
            <w:pPr>
              <w:pStyle w:val="40"/>
              <w:spacing w:line="254" w:lineRule="auto"/>
              <w:rPr>
                <w:rFonts w:hint="eastAsia" w:ascii="宋体" w:hAnsi="宋体" w:eastAsia="宋体" w:cs="宋体"/>
                <w:i w:val="0"/>
                <w:iCs w:val="0"/>
                <w:color w:val="auto"/>
                <w:sz w:val="21"/>
                <w:szCs w:val="21"/>
                <w:highlight w:val="none"/>
              </w:rPr>
            </w:pPr>
          </w:p>
          <w:p w14:paraId="3757A9EA">
            <w:pPr>
              <w:pStyle w:val="40"/>
              <w:spacing w:line="254" w:lineRule="auto"/>
              <w:rPr>
                <w:rFonts w:hint="eastAsia" w:ascii="宋体" w:hAnsi="宋体" w:eastAsia="宋体" w:cs="宋体"/>
                <w:i w:val="0"/>
                <w:iCs w:val="0"/>
                <w:color w:val="auto"/>
                <w:sz w:val="21"/>
                <w:szCs w:val="21"/>
                <w:highlight w:val="none"/>
              </w:rPr>
            </w:pPr>
          </w:p>
          <w:p w14:paraId="36B1D445">
            <w:pPr>
              <w:pStyle w:val="40"/>
              <w:spacing w:line="254" w:lineRule="auto"/>
              <w:rPr>
                <w:rFonts w:hint="eastAsia" w:ascii="宋体" w:hAnsi="宋体" w:eastAsia="宋体" w:cs="宋体"/>
                <w:i w:val="0"/>
                <w:iCs w:val="0"/>
                <w:color w:val="auto"/>
                <w:sz w:val="21"/>
                <w:szCs w:val="21"/>
                <w:highlight w:val="none"/>
              </w:rPr>
            </w:pPr>
          </w:p>
          <w:p w14:paraId="2ABAE655">
            <w:pPr>
              <w:pStyle w:val="40"/>
              <w:spacing w:line="254" w:lineRule="auto"/>
              <w:rPr>
                <w:rFonts w:hint="eastAsia" w:ascii="宋体" w:hAnsi="宋体" w:eastAsia="宋体" w:cs="宋体"/>
                <w:i w:val="0"/>
                <w:iCs w:val="0"/>
                <w:color w:val="auto"/>
                <w:sz w:val="21"/>
                <w:szCs w:val="21"/>
                <w:highlight w:val="none"/>
              </w:rPr>
            </w:pPr>
          </w:p>
          <w:p w14:paraId="452FE7BD">
            <w:pPr>
              <w:pStyle w:val="40"/>
              <w:spacing w:line="254" w:lineRule="auto"/>
              <w:rPr>
                <w:rFonts w:hint="eastAsia" w:ascii="宋体" w:hAnsi="宋体" w:eastAsia="宋体" w:cs="宋体"/>
                <w:i w:val="0"/>
                <w:iCs w:val="0"/>
                <w:color w:val="auto"/>
                <w:sz w:val="21"/>
                <w:szCs w:val="21"/>
                <w:highlight w:val="none"/>
              </w:rPr>
            </w:pPr>
          </w:p>
          <w:p w14:paraId="58F454D1">
            <w:pPr>
              <w:pStyle w:val="40"/>
              <w:spacing w:line="254" w:lineRule="auto"/>
              <w:rPr>
                <w:rFonts w:hint="eastAsia" w:ascii="宋体" w:hAnsi="宋体" w:eastAsia="宋体" w:cs="宋体"/>
                <w:i w:val="0"/>
                <w:iCs w:val="0"/>
                <w:color w:val="auto"/>
                <w:sz w:val="21"/>
                <w:szCs w:val="21"/>
                <w:highlight w:val="none"/>
              </w:rPr>
            </w:pPr>
          </w:p>
          <w:p w14:paraId="4FD28631">
            <w:pPr>
              <w:pStyle w:val="40"/>
              <w:spacing w:line="254" w:lineRule="auto"/>
              <w:rPr>
                <w:rFonts w:hint="eastAsia" w:ascii="宋体" w:hAnsi="宋体" w:eastAsia="宋体" w:cs="宋体"/>
                <w:i w:val="0"/>
                <w:iCs w:val="0"/>
                <w:color w:val="auto"/>
                <w:sz w:val="21"/>
                <w:szCs w:val="21"/>
                <w:highlight w:val="none"/>
              </w:rPr>
            </w:pPr>
          </w:p>
          <w:p w14:paraId="148BF9BA">
            <w:pPr>
              <w:pStyle w:val="40"/>
              <w:spacing w:line="254" w:lineRule="auto"/>
              <w:rPr>
                <w:rFonts w:hint="eastAsia" w:ascii="宋体" w:hAnsi="宋体" w:eastAsia="宋体" w:cs="宋体"/>
                <w:i w:val="0"/>
                <w:iCs w:val="0"/>
                <w:color w:val="auto"/>
                <w:sz w:val="21"/>
                <w:szCs w:val="21"/>
                <w:highlight w:val="none"/>
              </w:rPr>
            </w:pPr>
          </w:p>
          <w:p w14:paraId="12469275">
            <w:pPr>
              <w:spacing w:before="99" w:line="190" w:lineRule="auto"/>
              <w:ind w:left="5311"/>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pacing w:val="3"/>
                <w:sz w:val="21"/>
                <w:szCs w:val="21"/>
                <w:highlight w:val="none"/>
              </w:rPr>
              <w:t>单位公章</w:t>
            </w:r>
          </w:p>
          <w:p w14:paraId="78CDDE84">
            <w:pPr>
              <w:spacing w:before="337" w:line="188" w:lineRule="auto"/>
              <w:ind w:left="5128"/>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pacing w:val="-3"/>
                <w:sz w:val="21"/>
                <w:szCs w:val="21"/>
                <w:highlight w:val="none"/>
              </w:rPr>
              <w:t>年</w:t>
            </w:r>
            <w:r>
              <w:rPr>
                <w:rFonts w:hint="eastAsia" w:ascii="宋体" w:hAnsi="宋体" w:eastAsia="宋体" w:cs="宋体"/>
                <w:i w:val="0"/>
                <w:iCs w:val="0"/>
                <w:color w:val="auto"/>
                <w:spacing w:val="9"/>
                <w:sz w:val="21"/>
                <w:szCs w:val="21"/>
                <w:highlight w:val="none"/>
              </w:rPr>
              <w:t xml:space="preserve">    </w:t>
            </w:r>
            <w:r>
              <w:rPr>
                <w:rFonts w:hint="eastAsia" w:ascii="宋体" w:hAnsi="宋体" w:eastAsia="宋体" w:cs="宋体"/>
                <w:i w:val="0"/>
                <w:iCs w:val="0"/>
                <w:color w:val="auto"/>
                <w:spacing w:val="-3"/>
                <w:sz w:val="21"/>
                <w:szCs w:val="21"/>
                <w:highlight w:val="none"/>
              </w:rPr>
              <w:t>月</w:t>
            </w:r>
            <w:r>
              <w:rPr>
                <w:rFonts w:hint="eastAsia" w:ascii="宋体" w:hAnsi="宋体" w:eastAsia="宋体" w:cs="宋体"/>
                <w:i w:val="0"/>
                <w:iCs w:val="0"/>
                <w:color w:val="auto"/>
                <w:spacing w:val="6"/>
                <w:sz w:val="21"/>
                <w:szCs w:val="21"/>
                <w:highlight w:val="none"/>
              </w:rPr>
              <w:t xml:space="preserve">      </w:t>
            </w:r>
            <w:r>
              <w:rPr>
                <w:rFonts w:hint="eastAsia" w:ascii="宋体" w:hAnsi="宋体" w:eastAsia="宋体" w:cs="宋体"/>
                <w:i w:val="0"/>
                <w:iCs w:val="0"/>
                <w:color w:val="auto"/>
                <w:spacing w:val="-3"/>
                <w:sz w:val="21"/>
                <w:szCs w:val="21"/>
                <w:highlight w:val="none"/>
              </w:rPr>
              <w:t>日</w:t>
            </w:r>
          </w:p>
        </w:tc>
      </w:tr>
    </w:tbl>
    <w:p w14:paraId="41941600">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r>
    </w:p>
    <w:p w14:paraId="3E04FCAA">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宋体" w:hAnsi="宋体" w:eastAsia="宋体" w:cs="宋体"/>
          <w:highlight w:val="none"/>
        </w:rPr>
      </w:pPr>
      <w:r>
        <w:rPr>
          <w:rFonts w:hint="eastAsia" w:ascii="宋体" w:hAnsi="宋体" w:eastAsia="宋体" w:cs="宋体"/>
          <w:color w:val="000000"/>
          <w:sz w:val="44"/>
          <w:szCs w:val="44"/>
          <w:highlight w:val="none"/>
        </w:rPr>
        <w:t>第</w:t>
      </w:r>
      <w:bookmarkEnd w:id="166"/>
      <w:r>
        <w:rPr>
          <w:rFonts w:hint="eastAsia" w:ascii="宋体" w:hAnsi="宋体" w:eastAsia="宋体" w:cs="宋体"/>
          <w:color w:val="000000"/>
          <w:sz w:val="44"/>
          <w:szCs w:val="44"/>
          <w:highlight w:val="none"/>
        </w:rPr>
        <w:t xml:space="preserve">四章 </w:t>
      </w:r>
      <w:r>
        <w:rPr>
          <w:rFonts w:hint="eastAsia" w:ascii="宋体" w:hAnsi="宋体" w:eastAsia="宋体" w:cs="宋体"/>
          <w:color w:val="000000"/>
          <w:sz w:val="44"/>
          <w:szCs w:val="44"/>
          <w:highlight w:val="none"/>
          <w:lang w:eastAsia="zh-CN"/>
        </w:rPr>
        <w:t>招标服务</w:t>
      </w:r>
      <w:r>
        <w:rPr>
          <w:rFonts w:hint="eastAsia" w:ascii="宋体" w:hAnsi="宋体" w:eastAsia="宋体" w:cs="宋体"/>
          <w:color w:val="000000"/>
          <w:sz w:val="44"/>
          <w:szCs w:val="44"/>
          <w:highlight w:val="none"/>
        </w:rPr>
        <w:t>需求</w:t>
      </w:r>
      <w:bookmarkEnd w:id="167"/>
      <w:bookmarkEnd w:id="168"/>
      <w:bookmarkEnd w:id="169"/>
      <w:bookmarkEnd w:id="170"/>
      <w:bookmarkEnd w:id="171"/>
    </w:p>
    <w:p w14:paraId="73CCA7D3">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lang w:val="en-US" w:eastAsia="zh-CN"/>
        </w:rPr>
      </w:pPr>
      <w:bookmarkStart w:id="173" w:name="_Toc49090575"/>
      <w:bookmarkStart w:id="174" w:name="_Toc26554093"/>
      <w:r>
        <w:rPr>
          <w:rFonts w:hint="eastAsia" w:ascii="宋体" w:hAnsi="宋体" w:eastAsia="宋体" w:cs="宋体"/>
          <w:color w:val="000000"/>
          <w:sz w:val="24"/>
          <w:szCs w:val="24"/>
          <w:highlight w:val="none"/>
        </w:rPr>
        <w:t>项目属性:服务类项目。</w:t>
      </w:r>
      <w:bookmarkEnd w:id="173"/>
      <w:bookmarkEnd w:id="174"/>
    </w:p>
    <w:p w14:paraId="481E0E7D">
      <w:pPr>
        <w:keepNext w:val="0"/>
        <w:keepLines w:val="0"/>
        <w:pageBreakBefore w:val="0"/>
        <w:widowControl w:val="0"/>
        <w:numPr>
          <w:ilvl w:val="0"/>
          <w:numId w:val="3"/>
        </w:numPr>
        <w:kinsoku/>
        <w:wordWrap/>
        <w:overflowPunct/>
        <w:topLinePunct w:val="0"/>
        <w:autoSpaceDE/>
        <w:autoSpaceDN/>
        <w:bidi w:val="0"/>
        <w:adjustRightInd/>
        <w:snapToGrid/>
        <w:spacing w:line="500" w:lineRule="exact"/>
        <w:textAlignment w:val="auto"/>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项目概况</w:t>
      </w:r>
    </w:p>
    <w:p w14:paraId="16A82A3C">
      <w:pPr>
        <w:keepNext w:val="0"/>
        <w:keepLines w:val="0"/>
        <w:pageBreakBefore w:val="0"/>
        <w:widowControl w:val="0"/>
        <w:kinsoku/>
        <w:wordWrap/>
        <w:overflowPunct/>
        <w:topLinePunct w:val="0"/>
        <w:autoSpaceDE/>
        <w:autoSpaceDN/>
        <w:bidi w:val="0"/>
        <w:adjustRightInd/>
        <w:snapToGrid/>
        <w:spacing w:line="500" w:lineRule="exact"/>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根据二轮承包及土地确权成果数据显示，</w:t>
      </w:r>
      <w:r>
        <w:rPr>
          <w:rFonts w:hint="eastAsia" w:ascii="宋体" w:hAnsi="宋体" w:eastAsia="宋体" w:cs="宋体"/>
          <w:sz w:val="22"/>
          <w:szCs w:val="22"/>
          <w:lang w:val="en-US" w:eastAsia="zh-CN"/>
        </w:rPr>
        <w:t>一标段</w:t>
      </w:r>
      <w:r>
        <w:rPr>
          <w:rFonts w:hint="eastAsia" w:ascii="宋体" w:hAnsi="宋体" w:eastAsia="宋体" w:cs="宋体"/>
          <w:sz w:val="22"/>
          <w:szCs w:val="22"/>
          <w:lang w:eastAsia="zh-CN"/>
        </w:rPr>
        <w:t>万盈镇（</w:t>
      </w:r>
      <w:r>
        <w:rPr>
          <w:rFonts w:hint="eastAsia" w:ascii="宋体" w:hAnsi="宋体" w:eastAsia="宋体" w:cs="宋体"/>
          <w:sz w:val="22"/>
          <w:szCs w:val="22"/>
          <w:lang w:val="en-US" w:eastAsia="zh-CN"/>
        </w:rPr>
        <w:t>原万盈镇</w:t>
      </w:r>
      <w:r>
        <w:rPr>
          <w:rFonts w:hint="eastAsia" w:ascii="宋体" w:hAnsi="宋体" w:eastAsia="宋体" w:cs="宋体"/>
          <w:sz w:val="22"/>
          <w:szCs w:val="22"/>
          <w:lang w:eastAsia="zh-CN"/>
        </w:rPr>
        <w:t>）第二轮土地承包到期后再延长30年试点技术服务项目</w:t>
      </w:r>
      <w:r>
        <w:rPr>
          <w:rFonts w:hint="eastAsia" w:ascii="宋体" w:hAnsi="宋体" w:eastAsia="宋体" w:cs="宋体"/>
          <w:sz w:val="22"/>
          <w:szCs w:val="22"/>
          <w:lang w:val="en-US" w:eastAsia="zh-CN"/>
        </w:rPr>
        <w:t>涉及到原万盈镇7299户，约61500亩，二标段</w:t>
      </w:r>
      <w:r>
        <w:rPr>
          <w:rFonts w:hint="eastAsia" w:ascii="宋体" w:hAnsi="宋体" w:eastAsia="宋体" w:cs="宋体"/>
          <w:sz w:val="22"/>
          <w:szCs w:val="22"/>
          <w:lang w:eastAsia="zh-CN"/>
        </w:rPr>
        <w:t>万盈镇（原沈灶镇）第二轮土地承包到期后再延长30年试点技术服务项目</w:t>
      </w:r>
      <w:r>
        <w:rPr>
          <w:rFonts w:hint="eastAsia" w:ascii="宋体" w:hAnsi="宋体" w:eastAsia="宋体" w:cs="宋体"/>
          <w:sz w:val="22"/>
          <w:szCs w:val="22"/>
          <w:lang w:val="en-US" w:eastAsia="zh-CN"/>
        </w:rPr>
        <w:t>涉及到原沈灶村7605户，约61000亩。</w:t>
      </w:r>
      <w:r>
        <w:rPr>
          <w:rFonts w:hint="eastAsia" w:ascii="宋体" w:hAnsi="宋体" w:eastAsia="宋体" w:cs="宋体"/>
          <w:sz w:val="22"/>
          <w:szCs w:val="22"/>
        </w:rPr>
        <w:t>202</w:t>
      </w:r>
      <w:r>
        <w:rPr>
          <w:rFonts w:hint="eastAsia" w:ascii="宋体" w:hAnsi="宋体" w:eastAsia="宋体" w:cs="宋体"/>
          <w:sz w:val="22"/>
          <w:szCs w:val="22"/>
          <w:lang w:val="en-US" w:eastAsia="zh-CN"/>
        </w:rPr>
        <w:t>8</w:t>
      </w:r>
      <w:r>
        <w:rPr>
          <w:rFonts w:hint="eastAsia" w:ascii="宋体" w:hAnsi="宋体" w:eastAsia="宋体" w:cs="宋体"/>
          <w:sz w:val="22"/>
          <w:szCs w:val="22"/>
        </w:rPr>
        <w:t>年度二轮承包全部到期。本轮延包需完成将</w:t>
      </w:r>
      <w:r>
        <w:rPr>
          <w:rFonts w:hint="eastAsia" w:ascii="宋体" w:hAnsi="宋体" w:eastAsia="宋体" w:cs="宋体"/>
          <w:sz w:val="22"/>
          <w:szCs w:val="22"/>
          <w:lang w:eastAsia="zh-CN"/>
        </w:rPr>
        <w:t>万盈镇</w:t>
      </w:r>
      <w:r>
        <w:rPr>
          <w:rFonts w:hint="eastAsia" w:ascii="宋体" w:hAnsi="宋体" w:eastAsia="宋体" w:cs="宋体"/>
          <w:sz w:val="22"/>
          <w:szCs w:val="22"/>
        </w:rPr>
        <w:t>承包地现状信息全部摸清，包括但不限于发包方信息（发包方名称、组织机构代码等）、承包方信息（含户主、家庭成员姓名、身份证号、成员关系等）、地块信息（含地块空间位置、四至、面积、对应权属、耕地质量等级、土地用途等）；全面解决土地确权时遗留的历史问题；指导并协助乡镇、村组完成延包合同签订工作</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en-US" w:eastAsia="zh-CN"/>
        </w:rPr>
        <w:t>开展地籍调查，协助延包工作小组完善证书信息等工作</w:t>
      </w:r>
      <w:r>
        <w:rPr>
          <w:rFonts w:hint="eastAsia" w:ascii="宋体" w:hAnsi="宋体" w:eastAsia="宋体" w:cs="宋体"/>
          <w:sz w:val="22"/>
          <w:szCs w:val="22"/>
          <w:lang w:val="en-US" w:eastAsia="zh-CN"/>
        </w:rPr>
        <w:t>，</w:t>
      </w:r>
      <w:r>
        <w:rPr>
          <w:rFonts w:hint="eastAsia" w:ascii="宋体" w:hAnsi="宋体" w:eastAsia="宋体" w:cs="宋体"/>
          <w:sz w:val="22"/>
          <w:szCs w:val="22"/>
        </w:rPr>
        <w:t>提供完整延包成果数据交予不动产登记管理部门</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rPr>
        <w:t>协助采购人参与数据移交共享工作；按国家和省级要求完成延包相关档案（纸质档案、电子档案）整理工作。</w:t>
      </w:r>
    </w:p>
    <w:p w14:paraId="7596A9BC">
      <w:pPr>
        <w:pStyle w:val="8"/>
        <w:keepNext w:val="0"/>
        <w:keepLines w:val="0"/>
        <w:pageBreakBefore w:val="0"/>
        <w:widowControl w:val="0"/>
        <w:kinsoku/>
        <w:wordWrap/>
        <w:overflowPunct/>
        <w:topLinePunct w:val="0"/>
        <w:autoSpaceDE/>
        <w:autoSpaceDN/>
        <w:bidi w:val="0"/>
        <w:adjustRightInd/>
        <w:snapToGrid/>
        <w:spacing w:line="500" w:lineRule="exact"/>
        <w:ind w:firstLine="440" w:firstLineChars="200"/>
        <w:textAlignment w:val="auto"/>
        <w:rPr>
          <w:rFonts w:hint="eastAsia" w:ascii="宋体" w:hAnsi="宋体" w:eastAsia="宋体" w:cs="宋体"/>
          <w:color w:val="auto"/>
          <w:kern w:val="2"/>
          <w:sz w:val="22"/>
          <w:szCs w:val="22"/>
          <w:lang w:val="en-US" w:eastAsia="zh-CN" w:bidi="ar-SA"/>
        </w:rPr>
      </w:pPr>
      <w:r>
        <w:rPr>
          <w:rFonts w:hint="eastAsia" w:ascii="宋体" w:hAnsi="宋体" w:eastAsia="宋体" w:cs="宋体"/>
          <w:color w:val="auto"/>
          <w:kern w:val="2"/>
          <w:sz w:val="22"/>
          <w:szCs w:val="22"/>
          <w:lang w:val="en-US" w:eastAsia="zh-CN" w:bidi="ar-SA"/>
        </w:rPr>
        <w:t>本项目一标段万盈镇（原万盈镇）包含苗丰村、天池村、文达村、六里村、三合村、益民村、万盈村、兆丰村等8个村原107个组。二标段万盈镇（原沈灶镇）包含康宁村、双灶村、双星村、六川村、殷灶村、顾灶村、沈灶村、西灶村、金龙村、双福村等10个村原130个组。</w:t>
      </w:r>
    </w:p>
    <w:p w14:paraId="0E7A6E3F">
      <w:pPr>
        <w:keepNext w:val="0"/>
        <w:keepLines w:val="0"/>
        <w:pageBreakBefore w:val="0"/>
        <w:widowControl w:val="0"/>
        <w:numPr>
          <w:ilvl w:val="0"/>
          <w:numId w:val="3"/>
        </w:numPr>
        <w:kinsoku/>
        <w:wordWrap/>
        <w:overflowPunct/>
        <w:topLinePunct w:val="0"/>
        <w:autoSpaceDE/>
        <w:autoSpaceDN/>
        <w:bidi w:val="0"/>
        <w:adjustRightInd/>
        <w:snapToGrid/>
        <w:spacing w:line="500" w:lineRule="exact"/>
        <w:textAlignment w:val="auto"/>
        <w:rPr>
          <w:rFonts w:hint="eastAsia" w:ascii="宋体" w:hAnsi="宋体" w:eastAsia="宋体" w:cs="宋体"/>
          <w:b/>
          <w:bCs/>
          <w:sz w:val="32"/>
          <w:szCs w:val="32"/>
        </w:rPr>
      </w:pPr>
      <w:r>
        <w:rPr>
          <w:rFonts w:hint="eastAsia" w:ascii="宋体" w:hAnsi="宋体" w:eastAsia="宋体" w:cs="宋体"/>
          <w:b/>
          <w:bCs/>
          <w:sz w:val="32"/>
          <w:szCs w:val="32"/>
          <w:lang w:eastAsia="zh-CN"/>
        </w:rPr>
        <w:t>招标服务需求</w:t>
      </w:r>
    </w:p>
    <w:p w14:paraId="44CE8410">
      <w:pPr>
        <w:keepNext w:val="0"/>
        <w:keepLines w:val="0"/>
        <w:pageBreakBefore w:val="0"/>
        <w:widowControl w:val="0"/>
        <w:kinsoku/>
        <w:wordWrap/>
        <w:overflowPunct/>
        <w:topLinePunct w:val="0"/>
        <w:autoSpaceDE/>
        <w:autoSpaceDN/>
        <w:bidi w:val="0"/>
        <w:adjustRightInd/>
        <w:snapToGrid/>
        <w:spacing w:line="500" w:lineRule="exact"/>
        <w:ind w:firstLine="211" w:firstLineChars="100"/>
        <w:textAlignment w:val="auto"/>
        <w:rPr>
          <w:rFonts w:hint="eastAsia" w:ascii="宋体" w:hAnsi="宋体" w:eastAsia="宋体" w:cs="宋体"/>
          <w:b/>
          <w:bCs/>
          <w:sz w:val="21"/>
          <w:szCs w:val="21"/>
          <w:lang w:eastAsia="zh-CN"/>
        </w:rPr>
      </w:pPr>
      <w:bookmarkStart w:id="175" w:name="_Toc120614281"/>
      <w:r>
        <w:rPr>
          <w:rFonts w:hint="eastAsia" w:ascii="宋体" w:hAnsi="宋体" w:eastAsia="宋体" w:cs="宋体"/>
          <w:b/>
          <w:bCs/>
          <w:sz w:val="21"/>
          <w:szCs w:val="21"/>
          <w:lang w:eastAsia="zh-CN"/>
        </w:rPr>
        <w:t>一、服务</w:t>
      </w:r>
      <w:r>
        <w:rPr>
          <w:rFonts w:hint="eastAsia" w:ascii="宋体" w:hAnsi="宋体" w:eastAsia="宋体" w:cs="宋体"/>
          <w:b/>
          <w:bCs/>
          <w:sz w:val="21"/>
          <w:szCs w:val="21"/>
          <w:lang w:val="en-US" w:eastAsia="zh-CN"/>
        </w:rPr>
        <w:t>内容</w:t>
      </w:r>
    </w:p>
    <w:p w14:paraId="3BF0E66C">
      <w:pPr>
        <w:keepNext w:val="0"/>
        <w:keepLines w:val="0"/>
        <w:pageBreakBefore w:val="0"/>
        <w:widowControl w:val="0"/>
        <w:kinsoku/>
        <w:wordWrap/>
        <w:overflowPunct/>
        <w:topLinePunct w:val="0"/>
        <w:autoSpaceDE/>
        <w:autoSpaceDN/>
        <w:bidi w:val="0"/>
        <w:adjustRightInd/>
        <w:snapToGrid/>
        <w:spacing w:line="500" w:lineRule="exact"/>
        <w:ind w:firstLine="211" w:firstLineChars="100"/>
        <w:textAlignment w:val="auto"/>
        <w:rPr>
          <w:rFonts w:hint="eastAsia" w:ascii="宋体" w:hAnsi="宋体" w:eastAsia="宋体" w:cs="宋体"/>
          <w:b/>
          <w:bCs/>
          <w:sz w:val="21"/>
          <w:szCs w:val="21"/>
        </w:rPr>
      </w:pPr>
      <w:r>
        <w:rPr>
          <w:rFonts w:hint="eastAsia" w:ascii="宋体" w:hAnsi="宋体" w:eastAsia="宋体" w:cs="宋体"/>
          <w:b/>
          <w:bCs/>
          <w:sz w:val="21"/>
          <w:szCs w:val="21"/>
          <w:lang w:val="en-US" w:eastAsia="zh-CN"/>
        </w:rPr>
        <w:t>1.1</w:t>
      </w:r>
      <w:r>
        <w:rPr>
          <w:rFonts w:hint="eastAsia" w:ascii="宋体" w:hAnsi="宋体" w:eastAsia="宋体" w:cs="宋体"/>
          <w:b/>
          <w:bCs/>
          <w:sz w:val="21"/>
          <w:szCs w:val="21"/>
        </w:rPr>
        <w:t>项目背景</w:t>
      </w:r>
    </w:p>
    <w:p w14:paraId="7B613683">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2023年中央一号文件提出，研究制定第二轮土地承包到期后再延长30年试点工作指导意见。这是继 2022年底在中央农村工作会议上习近平总书记强调“扎实做好承包期再延长30 年的各项工作，确保大多数农户原有承包权保持稳定、顺利延包”之后，中央作出的又一重大决定，彰显出中央对做好二轮延包工作顶层设计的高度重视，是“深化农村土地制度改革，稳步推进赋权”的具体体现，为顺利开展二轮土地延包试点工作提供了政策指引和工作指南。为贯彻落实《中共中央、国务院关于保持土地承包关系稳定并长久不变的意见》、《关于做好第二轮土地承包到期后再延长30年试点工作的意见》精神，根据省、市委部署，决定在盐城市进一步扩大试点范围，</w:t>
      </w:r>
      <w:r>
        <w:rPr>
          <w:rFonts w:hint="eastAsia" w:ascii="宋体" w:hAnsi="宋体" w:eastAsia="宋体" w:cs="宋体"/>
          <w:sz w:val="21"/>
          <w:szCs w:val="21"/>
          <w:lang w:val="en-US" w:eastAsia="zh-CN"/>
        </w:rPr>
        <w:t>万盈镇</w:t>
      </w:r>
      <w:r>
        <w:rPr>
          <w:rFonts w:hint="eastAsia" w:ascii="宋体" w:hAnsi="宋体" w:eastAsia="宋体" w:cs="宋体"/>
          <w:sz w:val="21"/>
          <w:szCs w:val="21"/>
        </w:rPr>
        <w:t>是盐城市202</w:t>
      </w:r>
      <w:r>
        <w:rPr>
          <w:rFonts w:hint="eastAsia" w:ascii="宋体" w:hAnsi="宋体" w:eastAsia="宋体" w:cs="宋体"/>
          <w:sz w:val="21"/>
          <w:szCs w:val="21"/>
          <w:lang w:val="en-US" w:eastAsia="zh-CN"/>
        </w:rPr>
        <w:t>6</w:t>
      </w:r>
      <w:r>
        <w:rPr>
          <w:rFonts w:hint="eastAsia" w:ascii="宋体" w:hAnsi="宋体" w:eastAsia="宋体" w:cs="宋体"/>
          <w:sz w:val="21"/>
          <w:szCs w:val="21"/>
        </w:rPr>
        <w:t>年</w:t>
      </w:r>
      <w:r>
        <w:rPr>
          <w:rFonts w:hint="eastAsia" w:ascii="宋体" w:hAnsi="宋体" w:eastAsia="宋体" w:cs="宋体"/>
          <w:sz w:val="21"/>
          <w:szCs w:val="21"/>
          <w:lang w:val="en-US" w:eastAsia="zh-CN"/>
        </w:rPr>
        <w:t>度重点推进镇</w:t>
      </w:r>
      <w:r>
        <w:rPr>
          <w:rFonts w:hint="eastAsia" w:ascii="宋体" w:hAnsi="宋体" w:eastAsia="宋体" w:cs="宋体"/>
          <w:sz w:val="21"/>
          <w:szCs w:val="21"/>
        </w:rPr>
        <w:t>。</w:t>
      </w:r>
    </w:p>
    <w:p w14:paraId="466416C6">
      <w:pPr>
        <w:keepNext w:val="0"/>
        <w:keepLines w:val="0"/>
        <w:pageBreakBefore w:val="0"/>
        <w:widowControl w:val="0"/>
        <w:kinsoku/>
        <w:wordWrap/>
        <w:overflowPunct/>
        <w:topLinePunct w:val="0"/>
        <w:autoSpaceDE/>
        <w:autoSpaceDN/>
        <w:bidi w:val="0"/>
        <w:adjustRightInd/>
        <w:snapToGrid/>
        <w:spacing w:line="500" w:lineRule="exact"/>
        <w:ind w:firstLine="211" w:firstLineChars="100"/>
        <w:textAlignment w:val="auto"/>
        <w:rPr>
          <w:rFonts w:hint="eastAsia" w:ascii="宋体" w:hAnsi="宋体" w:eastAsia="宋体" w:cs="宋体"/>
          <w:b/>
          <w:bCs/>
          <w:sz w:val="21"/>
          <w:szCs w:val="21"/>
        </w:rPr>
      </w:pPr>
      <w:r>
        <w:rPr>
          <w:rFonts w:hint="eastAsia" w:ascii="宋体" w:hAnsi="宋体" w:eastAsia="宋体" w:cs="宋体"/>
          <w:b/>
          <w:bCs/>
          <w:sz w:val="21"/>
          <w:szCs w:val="21"/>
          <w:lang w:val="en-US" w:eastAsia="zh-CN"/>
        </w:rPr>
        <w:t>1.2</w:t>
      </w:r>
      <w:r>
        <w:rPr>
          <w:rFonts w:hint="eastAsia" w:ascii="宋体" w:hAnsi="宋体" w:eastAsia="宋体" w:cs="宋体"/>
          <w:b/>
          <w:bCs/>
          <w:sz w:val="21"/>
          <w:szCs w:val="21"/>
        </w:rPr>
        <w:t>、指导思想</w:t>
      </w:r>
    </w:p>
    <w:p w14:paraId="0394F2A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以习近平新时代中国特色社会主义思想为指导，认真落实党中央、国务院推进土地制度改革、做好土地承包管理工作的决策部署，坚持农村土地农民集体所有制不动摇，坚持家庭承包经营基础性地位不动摇，巩固和完善农村基本经营制度，保持农村土地承包关系稳定并长久不变，赋予农民更加充分而有保障的土地权利，为提高农业农村现代化水平、推动乡村全面振兴、保持农村社会和谐稳定奠定制度基础。</w:t>
      </w:r>
    </w:p>
    <w:p w14:paraId="1EB2FB5D">
      <w:pPr>
        <w:keepNext w:val="0"/>
        <w:keepLines w:val="0"/>
        <w:pageBreakBefore w:val="0"/>
        <w:widowControl w:val="0"/>
        <w:kinsoku/>
        <w:wordWrap/>
        <w:overflowPunct/>
        <w:topLinePunct w:val="0"/>
        <w:autoSpaceDE/>
        <w:autoSpaceDN/>
        <w:bidi w:val="0"/>
        <w:adjustRightInd/>
        <w:snapToGrid/>
        <w:spacing w:line="500" w:lineRule="exact"/>
        <w:ind w:firstLine="211" w:firstLineChars="100"/>
        <w:textAlignment w:val="auto"/>
        <w:rPr>
          <w:rFonts w:hint="eastAsia" w:ascii="宋体" w:hAnsi="宋体" w:eastAsia="宋体" w:cs="宋体"/>
          <w:b/>
          <w:bCs/>
          <w:sz w:val="21"/>
          <w:szCs w:val="21"/>
        </w:rPr>
      </w:pPr>
      <w:r>
        <w:rPr>
          <w:rFonts w:hint="eastAsia" w:ascii="宋体" w:hAnsi="宋体" w:eastAsia="宋体" w:cs="宋体"/>
          <w:b/>
          <w:bCs/>
          <w:sz w:val="21"/>
          <w:szCs w:val="21"/>
          <w:lang w:val="en-US" w:eastAsia="zh-CN"/>
        </w:rPr>
        <w:t>1.</w:t>
      </w:r>
      <w:r>
        <w:rPr>
          <w:rFonts w:hint="eastAsia" w:ascii="宋体" w:hAnsi="宋体" w:eastAsia="宋体" w:cs="宋体"/>
          <w:b/>
          <w:bCs/>
          <w:sz w:val="21"/>
          <w:szCs w:val="21"/>
        </w:rPr>
        <w:t>3、基本原则</w:t>
      </w:r>
    </w:p>
    <w:p w14:paraId="7D4C035B">
      <w:pPr>
        <w:keepNext w:val="0"/>
        <w:keepLines w:val="0"/>
        <w:pageBreakBefore w:val="0"/>
        <w:widowControl w:val="0"/>
        <w:kinsoku/>
        <w:wordWrap/>
        <w:overflowPunct/>
        <w:topLinePunct w:val="0"/>
        <w:autoSpaceDE/>
        <w:autoSpaceDN/>
        <w:bidi w:val="0"/>
        <w:adjustRightInd/>
        <w:snapToGrid/>
        <w:spacing w:line="500" w:lineRule="exact"/>
        <w:ind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rPr>
        <w:t>一是把握政策界限。</w:t>
      </w:r>
      <w:r>
        <w:rPr>
          <w:rFonts w:hint="eastAsia" w:ascii="宋体" w:hAnsi="宋体" w:eastAsia="宋体" w:cs="宋体"/>
          <w:sz w:val="21"/>
          <w:szCs w:val="21"/>
        </w:rPr>
        <w:t>坚持农村土地集体所有，坚持家庭承包经营基础性地位，坚持土地承包关系稳定并长久不变，坚持延包原则，不得打乱重分。</w:t>
      </w:r>
    </w:p>
    <w:p w14:paraId="56973F72">
      <w:pPr>
        <w:keepNext w:val="0"/>
        <w:keepLines w:val="0"/>
        <w:pageBreakBefore w:val="0"/>
        <w:widowControl w:val="0"/>
        <w:kinsoku/>
        <w:wordWrap/>
        <w:overflowPunct/>
        <w:topLinePunct w:val="0"/>
        <w:autoSpaceDE/>
        <w:autoSpaceDN/>
        <w:bidi w:val="0"/>
        <w:adjustRightInd/>
        <w:snapToGrid/>
        <w:spacing w:line="500" w:lineRule="exact"/>
        <w:ind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rPr>
        <w:t>二是尊重农民意愿。</w:t>
      </w:r>
      <w:r>
        <w:rPr>
          <w:rFonts w:hint="eastAsia" w:ascii="宋体" w:hAnsi="宋体" w:eastAsia="宋体" w:cs="宋体"/>
          <w:sz w:val="21"/>
          <w:szCs w:val="21"/>
        </w:rPr>
        <w:t>对延包中可能遇到的集体预留机动地、消亡户认定、非集体成员户承包地处置等问题，以及各种历史遗留问题，要深入研究、审慎决策，法律政策有明确规定的，要把好法律政策关，严格执行；法律政策没有明确规定的，要在把好公平公正关、道德风险关的前提下，鼓励在法律政策范围内通过民主协商自主调节利益关系，充分发挥农民主动性和创造性，依靠农民解决好自己最关心最现实的利益问题。</w:t>
      </w:r>
    </w:p>
    <w:p w14:paraId="1981EC96">
      <w:pPr>
        <w:keepNext w:val="0"/>
        <w:keepLines w:val="0"/>
        <w:pageBreakBefore w:val="0"/>
        <w:widowControl w:val="0"/>
        <w:kinsoku/>
        <w:wordWrap/>
        <w:overflowPunct/>
        <w:topLinePunct w:val="0"/>
        <w:autoSpaceDE/>
        <w:autoSpaceDN/>
        <w:bidi w:val="0"/>
        <w:adjustRightInd/>
        <w:snapToGrid/>
        <w:spacing w:line="500" w:lineRule="exact"/>
        <w:ind w:firstLine="422" w:firstLineChars="200"/>
        <w:textAlignment w:val="auto"/>
        <w:rPr>
          <w:rFonts w:hint="eastAsia" w:ascii="宋体" w:hAnsi="宋体" w:eastAsia="宋体" w:cs="宋体"/>
          <w:sz w:val="21"/>
          <w:szCs w:val="21"/>
          <w:lang w:val="en-US" w:eastAsia="zh-CN"/>
        </w:rPr>
      </w:pPr>
      <w:r>
        <w:rPr>
          <w:rFonts w:hint="eastAsia" w:ascii="宋体" w:hAnsi="宋体" w:eastAsia="宋体" w:cs="宋体"/>
          <w:b/>
          <w:bCs/>
          <w:sz w:val="21"/>
          <w:szCs w:val="21"/>
        </w:rPr>
        <w:t>三是坚持因地制宜。</w:t>
      </w:r>
      <w:r>
        <w:rPr>
          <w:rFonts w:hint="eastAsia" w:ascii="宋体" w:hAnsi="宋体" w:eastAsia="宋体" w:cs="宋体"/>
          <w:sz w:val="21"/>
          <w:szCs w:val="21"/>
        </w:rPr>
        <w:t>充分考虑各地资源禀赋和经济社会以及农业发展水平，鼓励探索实践和制度创新，统筹考虑、综合平衡、因地制宜、分类施策，稳慎有序实施，保持农村社会稳定。要在保持土地承包关系稳定的前提下，引导和支持有条件的村组，结合高标准农田建设，开展农田集中连片整理，推动解决承包地细碎化和耕地撂荒问题。</w:t>
      </w:r>
    </w:p>
    <w:p w14:paraId="05CA22AC">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1.4、方案编制</w:t>
      </w:r>
    </w:p>
    <w:p w14:paraId="2291176D">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根据相关要求，完成</w:t>
      </w:r>
      <w:r>
        <w:rPr>
          <w:rFonts w:hint="eastAsia" w:ascii="宋体" w:hAnsi="宋体" w:eastAsia="宋体" w:cs="宋体"/>
          <w:color w:val="000000"/>
          <w:kern w:val="0"/>
          <w:sz w:val="21"/>
          <w:szCs w:val="21"/>
          <w:highlight w:val="none"/>
          <w:lang w:eastAsia="zh-CN"/>
        </w:rPr>
        <w:t>大丰区</w:t>
      </w:r>
      <w:r>
        <w:rPr>
          <w:rFonts w:hint="eastAsia" w:ascii="宋体" w:hAnsi="宋体" w:eastAsia="宋体" w:cs="宋体"/>
          <w:color w:val="000000"/>
          <w:kern w:val="0"/>
          <w:sz w:val="21"/>
          <w:szCs w:val="21"/>
          <w:highlight w:val="none"/>
          <w:lang w:val="en-US" w:eastAsia="zh-CN"/>
        </w:rPr>
        <w:t>万盈镇（原万盈镇、原沈灶镇）</w:t>
      </w:r>
      <w:r>
        <w:rPr>
          <w:rFonts w:hint="eastAsia" w:ascii="宋体" w:hAnsi="宋体" w:eastAsia="宋体" w:cs="宋体"/>
          <w:color w:val="000000"/>
          <w:kern w:val="0"/>
          <w:sz w:val="21"/>
          <w:szCs w:val="21"/>
          <w:highlight w:val="none"/>
        </w:rPr>
        <w:t>第二轮土地承包到期后再延长30年试点工作（含技术）方案的编制确保方案文本通过</w:t>
      </w:r>
      <w:r>
        <w:rPr>
          <w:rFonts w:hint="eastAsia" w:ascii="宋体" w:hAnsi="宋体" w:eastAsia="宋体" w:cs="宋体"/>
          <w:color w:val="000000"/>
          <w:kern w:val="0"/>
          <w:sz w:val="21"/>
          <w:szCs w:val="21"/>
          <w:highlight w:val="none"/>
          <w:lang w:val="en-US" w:eastAsia="zh-CN"/>
        </w:rPr>
        <w:t>上级主管部门</w:t>
      </w:r>
      <w:r>
        <w:rPr>
          <w:rFonts w:hint="eastAsia" w:ascii="宋体" w:hAnsi="宋体" w:eastAsia="宋体" w:cs="宋体"/>
          <w:color w:val="000000"/>
          <w:kern w:val="0"/>
          <w:sz w:val="21"/>
          <w:szCs w:val="21"/>
          <w:highlight w:val="none"/>
        </w:rPr>
        <w:t xml:space="preserve">的审核。 </w:t>
      </w:r>
    </w:p>
    <w:p w14:paraId="125933FC">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1.5、摸底核实</w:t>
      </w:r>
    </w:p>
    <w:p w14:paraId="67C97CE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 xml:space="preserve">利用农村土地承包经营权确权登记颁证成果和农村集体产权制度改革成果,对农村土地承包情况开展摸底核实。主要摸清第二轮土地承包以来承包农户及家庭成员、承包地变化情况,承包地确权登记颁证情况,开荒地、机动地等情况,存在的纠纷矛盾和历史遗留问题,农户延包意愿等。 </w:t>
      </w:r>
    </w:p>
    <w:p w14:paraId="4749E568">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1.6、制定方案</w:t>
      </w:r>
    </w:p>
    <w:p w14:paraId="67E3D1B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协助各村延包工作小组根据前期摸底核实后形成的问题清单列表逐一厘清形成延包方案。各村延包工作小组需针对问题清单中的个性问题、共性问题、重大问题等，写清问题具体情况，处理意见、解决方案、处理结果。问题清单梳理后的内容，需在延包方案中体现。并在所涉集体经济组织范围内张榜公示，期限不少于15天。公示结束后，延包方案</w:t>
      </w:r>
      <w:r>
        <w:rPr>
          <w:rFonts w:hint="eastAsia" w:ascii="宋体" w:hAnsi="宋体" w:eastAsia="宋体" w:cs="宋体"/>
          <w:color w:val="000000"/>
          <w:kern w:val="0"/>
          <w:sz w:val="21"/>
          <w:szCs w:val="21"/>
          <w:highlight w:val="none"/>
          <w:lang w:val="en-US" w:eastAsia="zh-CN"/>
        </w:rPr>
        <w:t>须经过村（组）集体经济组织成员大会研究通过</w:t>
      </w:r>
      <w:r>
        <w:rPr>
          <w:rFonts w:hint="eastAsia" w:ascii="宋体" w:hAnsi="宋体" w:eastAsia="宋体" w:cs="宋体"/>
          <w:color w:val="000000"/>
          <w:kern w:val="0"/>
          <w:sz w:val="21"/>
          <w:szCs w:val="21"/>
          <w:highlight w:val="none"/>
        </w:rPr>
        <w:t>，并上报</w:t>
      </w:r>
      <w:r>
        <w:rPr>
          <w:rFonts w:hint="eastAsia" w:ascii="宋体" w:hAnsi="宋体" w:eastAsia="宋体" w:cs="宋体"/>
          <w:color w:val="000000"/>
          <w:kern w:val="0"/>
          <w:sz w:val="21"/>
          <w:szCs w:val="21"/>
          <w:highlight w:val="none"/>
          <w:lang w:eastAsia="zh-CN"/>
        </w:rPr>
        <w:t>镇人民政府</w:t>
      </w:r>
      <w:r>
        <w:rPr>
          <w:rFonts w:hint="eastAsia" w:ascii="宋体" w:hAnsi="宋体" w:eastAsia="宋体" w:cs="宋体"/>
          <w:color w:val="000000"/>
          <w:kern w:val="0"/>
          <w:sz w:val="21"/>
          <w:szCs w:val="21"/>
          <w:highlight w:val="none"/>
        </w:rPr>
        <w:t>和</w:t>
      </w:r>
      <w:r>
        <w:rPr>
          <w:rFonts w:hint="eastAsia" w:ascii="宋体" w:hAnsi="宋体" w:eastAsia="宋体" w:cs="宋体"/>
          <w:color w:val="000000"/>
          <w:kern w:val="0"/>
          <w:sz w:val="21"/>
          <w:szCs w:val="21"/>
          <w:highlight w:val="none"/>
          <w:lang w:eastAsia="zh-CN"/>
        </w:rPr>
        <w:t>区级农业农村部门</w:t>
      </w:r>
      <w:r>
        <w:rPr>
          <w:rFonts w:hint="eastAsia" w:ascii="宋体" w:hAnsi="宋体" w:eastAsia="宋体" w:cs="宋体"/>
          <w:color w:val="000000"/>
          <w:kern w:val="0"/>
          <w:sz w:val="21"/>
          <w:szCs w:val="21"/>
          <w:highlight w:val="none"/>
        </w:rPr>
        <w:t>。</w:t>
      </w:r>
    </w:p>
    <w:p w14:paraId="3D1A3994">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sz w:val="21"/>
          <w:szCs w:val="21"/>
          <w:lang w:val="en-US" w:eastAsia="zh-CN"/>
        </w:rPr>
      </w:pPr>
      <w:r>
        <w:rPr>
          <w:rFonts w:hint="eastAsia" w:ascii="宋体" w:hAnsi="宋体" w:eastAsia="宋体" w:cs="宋体"/>
          <w:color w:val="000000"/>
          <w:kern w:val="0"/>
          <w:sz w:val="21"/>
          <w:szCs w:val="21"/>
        </w:rPr>
        <w:t xml:space="preserve"> </w:t>
      </w:r>
      <w:r>
        <w:rPr>
          <w:rFonts w:hint="eastAsia" w:ascii="宋体" w:hAnsi="宋体" w:eastAsia="宋体" w:cs="宋体"/>
          <w:b/>
          <w:bCs/>
          <w:sz w:val="21"/>
          <w:szCs w:val="21"/>
          <w:lang w:val="en-US" w:eastAsia="zh-CN"/>
        </w:rPr>
        <w:t>1.7、地籍调查</w:t>
      </w:r>
    </w:p>
    <w:p w14:paraId="51F89E4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地籍调查包括权属调查和地籍测量两项内容。对宗地位置、界线、用途等进行实地核实、记录，并经土地使用者认定。地籍测量是在权属调查基础上运用测绘科学技术测定界址线的位置、计算面积、绘制地籍图，为土地登记、核发证书提供依据，为地籍管理服务。</w:t>
      </w:r>
    </w:p>
    <w:p w14:paraId="5BE00A1B">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1.8、调查核查</w:t>
      </w:r>
    </w:p>
    <w:p w14:paraId="708A8C73">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b/>
          <w:bCs/>
          <w:sz w:val="21"/>
          <w:szCs w:val="21"/>
          <w:lang w:val="en-US" w:eastAsia="zh-CN"/>
        </w:rPr>
      </w:pPr>
      <w:r>
        <w:rPr>
          <w:rFonts w:hint="eastAsia" w:ascii="宋体" w:hAnsi="宋体" w:eastAsia="宋体" w:cs="宋体"/>
          <w:color w:val="000000"/>
          <w:kern w:val="0"/>
          <w:sz w:val="21"/>
          <w:szCs w:val="21"/>
          <w:highlight w:val="none"/>
          <w:lang w:val="en-US" w:eastAsia="zh-CN"/>
        </w:rPr>
        <w:t>以1998年二轮承包台账和2016年农村土地确权登记颁证成果为基础，根据摸底核实汇总情况及各村延包工作小组制定的延包方案，对承包地块和承包户家庭成员等信息无变化的农户，对承包地块、原数据库成果进行调查核实，并配合不动产登记部门按现行数据库标准将该成果与变化地块的调查成果合并建库。对承包地块和承包户家庭成员等有变化的农户，按照规定需要重新开展调查的，均需要按照上级相关文件要求，依据《农村土地承包合同管理办法》、《农村土地承包经营权调查规程》（NY/T2537）、《地籍调查规程》（GB/T42547-2023）等规定，按照程序和流程同步开展农村土地承包经营权调查和地籍调查，分别同时符合《农村土地承包经营权调查规程》（NY/T2537）、《地籍调查规程》（GB/T42547-2023）的农经权调查成果和地籍调查成果，包括：二轮延包数据库、信息公示表等，并按照规定及时履行相关的公示、审核、汇交等程序交农业农村部门和不动产登记机构。</w:t>
      </w:r>
    </w:p>
    <w:p w14:paraId="456B82DA">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sz w:val="21"/>
          <w:szCs w:val="21"/>
        </w:rPr>
      </w:pPr>
      <w:r>
        <w:rPr>
          <w:rFonts w:hint="eastAsia" w:ascii="宋体" w:hAnsi="宋体" w:eastAsia="宋体" w:cs="宋体"/>
          <w:b/>
          <w:bCs/>
          <w:sz w:val="21"/>
          <w:szCs w:val="21"/>
          <w:lang w:val="en-US" w:eastAsia="zh-CN"/>
        </w:rPr>
        <w:t>1.9、审核公示</w:t>
      </w:r>
    </w:p>
    <w:p w14:paraId="1DFAFD50">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sz w:val="21"/>
          <w:szCs w:val="21"/>
        </w:rPr>
        <w:t>各村延包工作小组以</w:t>
      </w:r>
      <w:r>
        <w:rPr>
          <w:rFonts w:hint="eastAsia" w:ascii="宋体" w:hAnsi="宋体" w:eastAsia="宋体" w:cs="宋体"/>
          <w:sz w:val="21"/>
          <w:szCs w:val="21"/>
          <w:lang w:val="en-US" w:eastAsia="zh-CN"/>
        </w:rPr>
        <w:t>自然组</w:t>
      </w:r>
      <w:r>
        <w:rPr>
          <w:rFonts w:hint="eastAsia" w:ascii="宋体" w:hAnsi="宋体" w:eastAsia="宋体" w:cs="宋体"/>
          <w:sz w:val="21"/>
          <w:szCs w:val="21"/>
        </w:rPr>
        <w:t>为单位形成《农村土地承包经营权调查信息公示表》等成果资料，由各村延包工作小组进行公示。《农村土地承包经营权调查信息公示表》需经延包工作小组核实确认后进行公示，期限不少于15天。相关权利人提出异议的，协助延包工作小组应当进行核实、修正，并再次公示。公示期满后，以户为单位制作《农村土地承包经营权公示结果归户表》，由各村延包工作小组安排相关人员进行签字确认。</w:t>
      </w:r>
      <w:r>
        <w:rPr>
          <w:rFonts w:hint="eastAsia" w:ascii="宋体" w:hAnsi="宋体" w:eastAsia="宋体" w:cs="宋体"/>
          <w:color w:val="000000"/>
          <w:kern w:val="0"/>
          <w:sz w:val="21"/>
          <w:szCs w:val="21"/>
        </w:rPr>
        <w:t xml:space="preserve"> </w:t>
      </w:r>
    </w:p>
    <w:p w14:paraId="46D67027">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2.0、签订合同</w:t>
      </w:r>
    </w:p>
    <w:p w14:paraId="1929CFE5">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highlight w:val="none"/>
        </w:rPr>
      </w:pPr>
      <w:r>
        <w:rPr>
          <w:rFonts w:hint="eastAsia" w:ascii="宋体" w:hAnsi="宋体" w:eastAsia="宋体" w:cs="宋体"/>
          <w:sz w:val="21"/>
          <w:szCs w:val="21"/>
          <w:highlight w:val="none"/>
        </w:rPr>
        <w:t>根据公示结果，明确二轮承包到期后延包的土地承包关系，更新农村土地承包信息数据库，按照《农村土地（耕地）承包合同（家庭承包方式）示范文本》要求，生成电子合同文本，并协助延包工作小组组织签订书面承包合同。</w:t>
      </w:r>
      <w:r>
        <w:rPr>
          <w:rFonts w:hint="eastAsia" w:ascii="宋体" w:hAnsi="宋体" w:eastAsia="宋体" w:cs="宋体"/>
          <w:color w:val="000000"/>
          <w:kern w:val="0"/>
          <w:sz w:val="21"/>
          <w:szCs w:val="21"/>
          <w:highlight w:val="none"/>
        </w:rPr>
        <w:t xml:space="preserve"> </w:t>
      </w:r>
    </w:p>
    <w:p w14:paraId="4374425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依托“全国农村土地承包合同网签系统”，指导发包方和承包方在线办理农村土地承包合同签订、变更等业务。</w:t>
      </w:r>
    </w:p>
    <w:p w14:paraId="6597D9BF">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2.1、完善证书</w:t>
      </w:r>
    </w:p>
    <w:p w14:paraId="70237AD5">
      <w:pPr>
        <w:keepNext w:val="0"/>
        <w:keepLines w:val="0"/>
        <w:pageBreakBefore w:val="0"/>
        <w:widowControl w:val="0"/>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b/>
          <w:bCs/>
          <w:sz w:val="21"/>
          <w:szCs w:val="21"/>
          <w:highlight w:val="none"/>
          <w:lang w:val="en-US" w:eastAsia="zh-CN"/>
        </w:rPr>
      </w:pPr>
      <w:r>
        <w:rPr>
          <w:rFonts w:hint="eastAsia" w:ascii="宋体" w:hAnsi="宋体" w:eastAsia="宋体" w:cs="宋体"/>
          <w:sz w:val="21"/>
          <w:szCs w:val="21"/>
          <w:highlight w:val="none"/>
          <w:lang w:val="en-US" w:eastAsia="zh-CN"/>
        </w:rPr>
        <w:t>合同签订后，协助延包工作小组完善证书信息等工作。根据申请人的申请，在人员、地块等承包信息未发生变化的，以承包合同和已颁发的《农村土地承包经营权证》为依据，在新的承包期继续有效且不变不换，证书记载的承包期限统一变更；有信息变化的宗地按照不动产登记相关规定重新办理农村土地承包经营权证书。</w:t>
      </w:r>
    </w:p>
    <w:p w14:paraId="16868FA8">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kern w:val="0"/>
          <w:sz w:val="21"/>
          <w:szCs w:val="21"/>
          <w:highlight w:val="none"/>
        </w:rPr>
      </w:pPr>
      <w:r>
        <w:rPr>
          <w:rFonts w:hint="eastAsia" w:ascii="宋体" w:hAnsi="宋体" w:eastAsia="宋体" w:cs="宋体"/>
          <w:b/>
          <w:bCs/>
          <w:sz w:val="21"/>
          <w:szCs w:val="21"/>
          <w:highlight w:val="none"/>
          <w:lang w:val="en-US" w:eastAsia="zh-CN"/>
        </w:rPr>
        <w:t>2.2、资料归档</w:t>
      </w:r>
      <w:r>
        <w:rPr>
          <w:rFonts w:hint="eastAsia" w:ascii="宋体" w:hAnsi="宋体" w:eastAsia="宋体" w:cs="宋体"/>
          <w:color w:val="000000"/>
          <w:kern w:val="0"/>
          <w:sz w:val="21"/>
          <w:szCs w:val="21"/>
          <w:highlight w:val="none"/>
        </w:rPr>
        <w:t>。</w:t>
      </w:r>
    </w:p>
    <w:p w14:paraId="26326D92">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延包试点中形成的各种文字、图表、声像、数据等不同形式的文件材料，按照档案管理有关规定，</w:t>
      </w:r>
      <w:r>
        <w:rPr>
          <w:rFonts w:hint="eastAsia" w:ascii="宋体" w:hAnsi="宋体" w:eastAsia="宋体" w:cs="宋体"/>
          <w:sz w:val="21"/>
          <w:szCs w:val="21"/>
          <w:highlight w:val="none"/>
          <w:lang w:eastAsia="zh-CN"/>
        </w:rPr>
        <w:t>按照业务类型分别</w:t>
      </w:r>
      <w:r>
        <w:rPr>
          <w:rFonts w:hint="eastAsia" w:ascii="宋体" w:hAnsi="宋体" w:eastAsia="宋体" w:cs="宋体"/>
          <w:sz w:val="21"/>
          <w:szCs w:val="21"/>
          <w:highlight w:val="none"/>
        </w:rPr>
        <w:t>对其进行归档</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形成“一</w:t>
      </w:r>
      <w:r>
        <w:rPr>
          <w:rFonts w:hint="eastAsia" w:ascii="宋体" w:hAnsi="宋体" w:eastAsia="宋体" w:cs="宋体"/>
          <w:sz w:val="21"/>
          <w:szCs w:val="21"/>
          <w:highlight w:val="none"/>
          <w:lang w:val="en-US" w:eastAsia="zh-CN"/>
        </w:rPr>
        <w:t>户</w:t>
      </w:r>
      <w:r>
        <w:rPr>
          <w:rFonts w:hint="eastAsia" w:ascii="宋体" w:hAnsi="宋体" w:eastAsia="宋体" w:cs="宋体"/>
          <w:sz w:val="21"/>
          <w:szCs w:val="21"/>
          <w:highlight w:val="none"/>
        </w:rPr>
        <w:t>一档”的最终成果。</w:t>
      </w:r>
    </w:p>
    <w:p w14:paraId="1E31AC3E">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二</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基本要求</w:t>
      </w:r>
    </w:p>
    <w:p w14:paraId="746C9552">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1）技术标准与依据</w:t>
      </w:r>
    </w:p>
    <w:p w14:paraId="2E9187E2">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（1）《中华人民共和国土地管理法》</w:t>
      </w:r>
    </w:p>
    <w:p w14:paraId="12D33A67">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（2）《中华人民共和国农村土地承包法》</w:t>
      </w:r>
    </w:p>
    <w:p w14:paraId="67557F59">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（3）《中华人民共和国民法典》</w:t>
      </w:r>
    </w:p>
    <w:p w14:paraId="300BCB9A">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（4）《不动产登记暂行条例》</w:t>
      </w:r>
    </w:p>
    <w:p w14:paraId="32A4F5A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（5）《不动产登记暂行条例实施细则》</w:t>
      </w:r>
    </w:p>
    <w:p w14:paraId="5613947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（6）《农村土地承包合同管理办法》</w:t>
      </w:r>
    </w:p>
    <w:p w14:paraId="74BED272">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（7）《江苏省农村土地承包经营权确权登记颁证档案管理实施办法》</w:t>
      </w:r>
    </w:p>
    <w:p w14:paraId="2B1AB437">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（8）GB/T 35958-2018农村土地承包经营权要素编码规则</w:t>
      </w:r>
    </w:p>
    <w:p w14:paraId="7C8AAF86">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（9）NY/T 2539-2016 农村土地承包经营权确权登记数据库规范</w:t>
      </w:r>
    </w:p>
    <w:p w14:paraId="7EA50A8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（10）GB/T 13989-2012 国家基本比例尺地形图分幅与编号</w:t>
      </w:r>
    </w:p>
    <w:p w14:paraId="06A8355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（11）GB/T 18314-2009 全球定位系统（GPS）测量规范</w:t>
      </w:r>
    </w:p>
    <w:p w14:paraId="217ADF9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（12）CH/T 2009-2010 全球定位系统实时动态测量（RTK）技术规范</w:t>
      </w:r>
    </w:p>
    <w:p w14:paraId="3073E9CA">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（13）GB/T 2260-2007 中华人民共和国行政区划代码</w:t>
      </w:r>
    </w:p>
    <w:p w14:paraId="3BE53830">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（14）GB/T 13923-2006 基础地理信息要素分类与代码</w:t>
      </w:r>
    </w:p>
    <w:p w14:paraId="423C4CD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（15）GB/T 21010-2017 土地利用现状分类</w:t>
      </w:r>
    </w:p>
    <w:p w14:paraId="2D67C5D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（16）TD/T 1066-2021 不动产登记数据库标准</w:t>
      </w:r>
    </w:p>
    <w:p w14:paraId="0C2A264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（17）CH/T 1001-2005 测绘技术总结编写规定</w:t>
      </w:r>
    </w:p>
    <w:p w14:paraId="6C51BE5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（18）CH/T 1004-2005 测绘技术设计规定</w:t>
      </w:r>
    </w:p>
    <w:p w14:paraId="52A53B37">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（19）GB/T 24356-2023 测绘成果质量检查与验收</w:t>
      </w:r>
    </w:p>
    <w:p w14:paraId="5A43549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（20）GB/T 18316—2008 数字测绘成果质量检查与验收</w:t>
      </w:r>
    </w:p>
    <w:p w14:paraId="3435FF03">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（21）《土地承包经营权和土地经营权登记操作规范（试行）》（自然资发〔2022〕198号）</w:t>
      </w:r>
    </w:p>
    <w:p w14:paraId="3718AB05">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（23）GB/T 42547-2023《地籍调查规程》</w:t>
      </w:r>
    </w:p>
    <w:p w14:paraId="42733F5D">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（24）TD/T 1095-2024 《不动产登记规程》</w:t>
      </w:r>
    </w:p>
    <w:p w14:paraId="5224A992">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（25）中共中央、国务院《关于保持土地承包关系稳定并长久不变的意见》（中发[2018]36号）</w:t>
      </w:r>
    </w:p>
    <w:p w14:paraId="040CED53">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lang w:val="en-US" w:eastAsia="zh-CN"/>
        </w:rPr>
        <w:t>26</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lang w:val="en-US" w:eastAsia="zh-CN"/>
        </w:rPr>
        <w:t>农业农村部办公厅《第二轮土地承包到期后再延长30年试点工作规程（试行）》</w:t>
      </w:r>
    </w:p>
    <w:p w14:paraId="287080B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2）主要技术指标要求</w:t>
      </w:r>
    </w:p>
    <w:p w14:paraId="463E8633">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（1）坐标系统</w:t>
      </w:r>
    </w:p>
    <w:p w14:paraId="69BC068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采用2000国家大地坐标系（CGCS2000）。</w:t>
      </w:r>
    </w:p>
    <w:p w14:paraId="199FCC9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地图投影采用高斯—克吕格投影，3度分带，中央子午线为20°。</w:t>
      </w:r>
    </w:p>
    <w:p w14:paraId="13BCC1AD">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（2）高程系统</w:t>
      </w:r>
    </w:p>
    <w:p w14:paraId="4A346550">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采用1985国家高程基准。</w:t>
      </w:r>
    </w:p>
    <w:p w14:paraId="40AAB566">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（3）比例尺</w:t>
      </w:r>
    </w:p>
    <w:p w14:paraId="6F91FA33">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比例尺不低于1:2000。</w:t>
      </w:r>
    </w:p>
    <w:p w14:paraId="7178B01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（4）计量单位</w:t>
      </w:r>
    </w:p>
    <w:p w14:paraId="0A0B8792">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①长度单位采用米（m），统计汇总登记采用千米（km），小数点后保留两位有效数字。</w:t>
      </w:r>
    </w:p>
    <w:p w14:paraId="6CFEF6B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②面积计算单位采用亩（mu），面积统计汇总单位采用亩（mu），保留2位小数。</w:t>
      </w:r>
    </w:p>
    <w:p w14:paraId="158330E3">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（5）面积量算</w:t>
      </w:r>
    </w:p>
    <w:p w14:paraId="3CD8AC47">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面积量算，平原地区面积采用地块水平投影面积，坡地等地块地表倾斜面的面积通过改正系数计算。改正系数可在外业调查时按照地块实测面积和调绘面积计算获得。</w:t>
      </w:r>
    </w:p>
    <w:p w14:paraId="3BAEBD7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三</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时间要求</w:t>
      </w:r>
    </w:p>
    <w:p w14:paraId="216EEC02">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rPr>
        <w:t>第一步：</w:t>
      </w:r>
      <w:r>
        <w:rPr>
          <w:rFonts w:hint="eastAsia" w:ascii="宋体" w:hAnsi="宋体" w:eastAsia="宋体" w:cs="宋体"/>
          <w:color w:val="auto"/>
          <w:kern w:val="0"/>
          <w:sz w:val="21"/>
          <w:szCs w:val="21"/>
          <w:lang w:val="en-US" w:eastAsia="zh-CN"/>
        </w:rPr>
        <w:t>试点实施阶段</w:t>
      </w:r>
      <w:r>
        <w:rPr>
          <w:rFonts w:hint="eastAsia" w:ascii="宋体" w:hAnsi="宋体" w:eastAsia="宋体" w:cs="宋体"/>
          <w:color w:val="auto"/>
          <w:kern w:val="0"/>
          <w:sz w:val="21"/>
          <w:szCs w:val="21"/>
        </w:rPr>
        <w:t>（202</w:t>
      </w:r>
      <w:r>
        <w:rPr>
          <w:rFonts w:hint="eastAsia" w:ascii="宋体" w:hAnsi="宋体" w:eastAsia="宋体" w:cs="宋体"/>
          <w:color w:val="auto"/>
          <w:kern w:val="0"/>
          <w:sz w:val="21"/>
          <w:szCs w:val="21"/>
          <w:lang w:val="en-US" w:eastAsia="zh-CN"/>
        </w:rPr>
        <w:t>6</w:t>
      </w:r>
      <w:r>
        <w:rPr>
          <w:rFonts w:hint="eastAsia" w:ascii="宋体" w:hAnsi="宋体" w:eastAsia="宋体" w:cs="宋体"/>
          <w:color w:val="auto"/>
          <w:kern w:val="0"/>
          <w:sz w:val="21"/>
          <w:szCs w:val="21"/>
        </w:rPr>
        <w:t>年</w:t>
      </w:r>
      <w:r>
        <w:rPr>
          <w:rFonts w:hint="eastAsia" w:ascii="宋体" w:hAnsi="宋体" w:eastAsia="宋体" w:cs="宋体"/>
          <w:color w:val="auto"/>
          <w:kern w:val="0"/>
          <w:sz w:val="21"/>
          <w:szCs w:val="21"/>
          <w:lang w:val="en-US" w:eastAsia="zh-CN"/>
        </w:rPr>
        <w:t>7</w:t>
      </w:r>
      <w:r>
        <w:rPr>
          <w:rFonts w:hint="eastAsia" w:ascii="宋体" w:hAnsi="宋体" w:eastAsia="宋体" w:cs="宋体"/>
          <w:color w:val="auto"/>
          <w:kern w:val="0"/>
          <w:sz w:val="21"/>
          <w:szCs w:val="21"/>
        </w:rPr>
        <w:t>月</w:t>
      </w:r>
      <w:r>
        <w:rPr>
          <w:rFonts w:hint="eastAsia" w:ascii="宋体" w:hAnsi="宋体" w:eastAsia="宋体" w:cs="宋体"/>
          <w:color w:val="auto"/>
          <w:kern w:val="0"/>
          <w:sz w:val="21"/>
          <w:szCs w:val="21"/>
          <w:lang w:val="en-US" w:eastAsia="zh-CN"/>
        </w:rPr>
        <w:t>1</w:t>
      </w:r>
      <w:r>
        <w:rPr>
          <w:rFonts w:hint="eastAsia" w:ascii="宋体" w:hAnsi="宋体" w:eastAsia="宋体" w:cs="宋体"/>
          <w:color w:val="auto"/>
          <w:kern w:val="0"/>
          <w:sz w:val="21"/>
          <w:szCs w:val="21"/>
        </w:rPr>
        <w:t>日至</w:t>
      </w:r>
      <w:r>
        <w:rPr>
          <w:rFonts w:hint="eastAsia" w:ascii="宋体" w:hAnsi="宋体" w:eastAsia="宋体" w:cs="宋体"/>
          <w:color w:val="auto"/>
          <w:kern w:val="0"/>
          <w:sz w:val="21"/>
          <w:szCs w:val="21"/>
          <w:lang w:val="en-US" w:eastAsia="zh-CN"/>
        </w:rPr>
        <w:t>2026年12</w:t>
      </w:r>
      <w:r>
        <w:rPr>
          <w:rFonts w:hint="eastAsia" w:ascii="宋体" w:hAnsi="宋体" w:eastAsia="宋体" w:cs="宋体"/>
          <w:color w:val="auto"/>
          <w:kern w:val="0"/>
          <w:sz w:val="21"/>
          <w:szCs w:val="21"/>
        </w:rPr>
        <w:t>月</w:t>
      </w:r>
      <w:r>
        <w:rPr>
          <w:rFonts w:hint="eastAsia" w:ascii="宋体" w:hAnsi="宋体" w:eastAsia="宋体" w:cs="宋体"/>
          <w:color w:val="auto"/>
          <w:kern w:val="0"/>
          <w:sz w:val="21"/>
          <w:szCs w:val="21"/>
          <w:lang w:val="en-US" w:eastAsia="zh-CN"/>
        </w:rPr>
        <w:t>31</w:t>
      </w:r>
      <w:r>
        <w:rPr>
          <w:rFonts w:hint="eastAsia" w:ascii="宋体" w:hAnsi="宋体" w:eastAsia="宋体" w:cs="宋体"/>
          <w:color w:val="auto"/>
          <w:kern w:val="0"/>
          <w:sz w:val="21"/>
          <w:szCs w:val="21"/>
        </w:rPr>
        <w:t>日）</w:t>
      </w:r>
      <w:r>
        <w:rPr>
          <w:rFonts w:hint="eastAsia" w:ascii="宋体" w:hAnsi="宋体" w:eastAsia="宋体" w:cs="宋体"/>
          <w:color w:val="auto"/>
          <w:kern w:val="0"/>
          <w:sz w:val="21"/>
          <w:szCs w:val="21"/>
          <w:lang w:val="en-US" w:eastAsia="zh-CN"/>
        </w:rPr>
        <w:t>。作业单位</w:t>
      </w:r>
      <w:r>
        <w:rPr>
          <w:rFonts w:hint="eastAsia" w:ascii="宋体" w:hAnsi="宋体" w:eastAsia="宋体" w:cs="宋体"/>
          <w:color w:val="auto"/>
          <w:sz w:val="21"/>
          <w:szCs w:val="21"/>
          <w:lang w:val="en-US" w:eastAsia="zh-CN"/>
        </w:rPr>
        <w:t>组建工作队伍安排人员进场，配合试点村</w:t>
      </w:r>
      <w:r>
        <w:rPr>
          <w:rFonts w:hint="eastAsia" w:ascii="宋体" w:hAnsi="宋体" w:eastAsia="宋体" w:cs="宋体"/>
          <w:color w:val="auto"/>
          <w:sz w:val="21"/>
          <w:szCs w:val="21"/>
        </w:rPr>
        <w:t>加强政策宣讲，征求群众意见，</w:t>
      </w:r>
      <w:r>
        <w:rPr>
          <w:rFonts w:hint="eastAsia" w:ascii="宋体" w:hAnsi="宋体" w:eastAsia="宋体" w:cs="宋体"/>
          <w:color w:val="auto"/>
          <w:sz w:val="21"/>
          <w:szCs w:val="21"/>
          <w:lang w:val="en-US" w:eastAsia="zh-CN"/>
        </w:rPr>
        <w:t>参与</w:t>
      </w:r>
      <w:r>
        <w:rPr>
          <w:rFonts w:hint="eastAsia" w:ascii="宋体" w:hAnsi="宋体" w:eastAsia="宋体" w:cs="宋体"/>
          <w:color w:val="auto"/>
          <w:sz w:val="21"/>
          <w:szCs w:val="21"/>
        </w:rPr>
        <w:t>召开延包工作小组会议，讨论拟定延包方案，按照延包试点方案，推进延包试点工作，对推进中碰到的问题逐一研究解决，进一步完善延包方案（完成制定延包方案，入户调查，签字确认，审核公示，签</w:t>
      </w:r>
      <w:r>
        <w:rPr>
          <w:rFonts w:hint="eastAsia" w:ascii="宋体" w:hAnsi="宋体" w:eastAsia="宋体" w:cs="宋体"/>
          <w:color w:val="auto"/>
          <w:sz w:val="21"/>
          <w:szCs w:val="21"/>
          <w:lang w:val="en-US" w:eastAsia="zh-CN"/>
        </w:rPr>
        <w:t>订</w:t>
      </w:r>
      <w:r>
        <w:rPr>
          <w:rFonts w:hint="eastAsia" w:ascii="宋体" w:hAnsi="宋体" w:eastAsia="宋体" w:cs="宋体"/>
          <w:color w:val="auto"/>
          <w:sz w:val="21"/>
          <w:szCs w:val="21"/>
        </w:rPr>
        <w:t>延包合同，完善证书的工作任务）</w:t>
      </w:r>
      <w:r>
        <w:rPr>
          <w:rFonts w:hint="eastAsia" w:ascii="宋体" w:hAnsi="宋体" w:eastAsia="宋体" w:cs="宋体"/>
          <w:color w:val="auto"/>
          <w:kern w:val="0"/>
          <w:sz w:val="21"/>
          <w:szCs w:val="21"/>
        </w:rPr>
        <w:t>。</w:t>
      </w:r>
    </w:p>
    <w:p w14:paraId="66BCD101">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rPr>
        <w:t>第</w:t>
      </w:r>
      <w:r>
        <w:rPr>
          <w:rFonts w:hint="eastAsia" w:ascii="宋体" w:hAnsi="宋体" w:eastAsia="宋体" w:cs="宋体"/>
          <w:color w:val="auto"/>
          <w:kern w:val="0"/>
          <w:sz w:val="21"/>
          <w:szCs w:val="21"/>
          <w:lang w:val="en-US" w:eastAsia="zh-CN"/>
        </w:rPr>
        <w:t>二</w:t>
      </w:r>
      <w:r>
        <w:rPr>
          <w:rFonts w:hint="eastAsia" w:ascii="宋体" w:hAnsi="宋体" w:eastAsia="宋体" w:cs="宋体"/>
          <w:color w:val="auto"/>
          <w:kern w:val="0"/>
          <w:sz w:val="21"/>
          <w:szCs w:val="21"/>
        </w:rPr>
        <w:t>步</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rPr>
        <w:t>登记归档阶段（2027年1月1日至2027年2月28日）。根据《自然资源部农业农村部关于做好不动产统一登记与土地承包合同管理工作有序衔接的通知》(自然资发[2022]157号)文件精神，及时将合同信息共享给自然资源部门，自然资源部门依据合同记载的相关信息进行登记，并在登记完成后将不动产登记信息共享给农业农村部门。同时，按照档案管理有关规定将试点过程中，形成的对国家、社会和个人有保存价值的各种文字、图表、声像、数据等文件材料进行归档。</w:t>
      </w:r>
    </w:p>
    <w:p w14:paraId="7C027283">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第三步：总结验收阶段（2027年3月1日至2027年5月31日，具体时间以上级通知为准）。万盈镇全面完成二轮延包试点任务，指导村级全面开展自查，并向上级申请验收。上级工作组对万盈镇二轮延包工作开展验收，总结试点工作经验，编制典型案例汇编。</w:t>
      </w:r>
    </w:p>
    <w:p w14:paraId="4FB3F91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四</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服务质量保证及售后服务要求</w:t>
      </w:r>
    </w:p>
    <w:p w14:paraId="37A3A8CE">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p>
    <w:p w14:paraId="488E17C6">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（2）供应商应按照通过最终成果检验的要求进行质量控制，质量保证措施应全面、具体、安全、合理、切实可行、责任明确。</w:t>
      </w:r>
    </w:p>
    <w:p w14:paraId="510B816A">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（3）供应商需提供必要的技术支持，协助采购人完成其他需要供应商配合的服务。</w:t>
      </w:r>
    </w:p>
    <w:p w14:paraId="7C6B55C9">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（4）供应商应严格遵守服务合约，项目完成以后，如采购人有需要供应商配合的服务，供应商必需予以配合，协助采购人完善项目内容。</w:t>
      </w:r>
    </w:p>
    <w:p w14:paraId="0B107395">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w:t>
      </w:r>
      <w:r>
        <w:rPr>
          <w:rFonts w:hint="eastAsia" w:ascii="宋体" w:hAnsi="宋体" w:eastAsia="宋体" w:cs="宋体"/>
          <w:i w:val="0"/>
          <w:iCs w:val="0"/>
          <w:color w:val="auto"/>
          <w:kern w:val="0"/>
          <w:sz w:val="21"/>
          <w:szCs w:val="21"/>
          <w:highlight w:val="none"/>
        </w:rPr>
        <w:t>此项目要求提供多样化技术支持服务，处理出现的各种问题，以保证工作的正常运行。二轮延包完成后</w:t>
      </w: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lang w:val="en-US" w:eastAsia="zh-CN"/>
        </w:rPr>
        <w:t>且在上级验收通过后</w:t>
      </w: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质保期</w:t>
      </w:r>
      <w:r>
        <w:rPr>
          <w:rFonts w:hint="eastAsia" w:ascii="宋体" w:hAnsi="宋体" w:eastAsia="宋体" w:cs="宋体"/>
          <w:i w:val="0"/>
          <w:iCs w:val="0"/>
          <w:color w:val="auto"/>
          <w:kern w:val="0"/>
          <w:sz w:val="21"/>
          <w:szCs w:val="21"/>
          <w:highlight w:val="none"/>
          <w:lang w:eastAsia="zh-CN"/>
        </w:rPr>
        <w:t>为</w:t>
      </w:r>
      <w:r>
        <w:rPr>
          <w:rFonts w:hint="eastAsia" w:ascii="宋体" w:hAnsi="宋体" w:eastAsia="宋体" w:cs="宋体"/>
          <w:i w:val="0"/>
          <w:iCs w:val="0"/>
          <w:color w:val="auto"/>
          <w:kern w:val="0"/>
          <w:sz w:val="21"/>
          <w:szCs w:val="21"/>
          <w:highlight w:val="none"/>
          <w:lang w:val="en-US" w:eastAsia="zh-CN"/>
        </w:rPr>
        <w:t>壹</w:t>
      </w:r>
      <w:r>
        <w:rPr>
          <w:rFonts w:hint="eastAsia" w:ascii="宋体" w:hAnsi="宋体" w:eastAsia="宋体" w:cs="宋体"/>
          <w:i w:val="0"/>
          <w:iCs w:val="0"/>
          <w:color w:val="auto"/>
          <w:kern w:val="0"/>
          <w:sz w:val="21"/>
          <w:szCs w:val="21"/>
          <w:highlight w:val="none"/>
        </w:rPr>
        <w:t>年，质保期内成果存在任何问题或上级部门制定新的成果提交要求，供应商均需按要求</w:t>
      </w:r>
      <w:r>
        <w:rPr>
          <w:rFonts w:hint="eastAsia" w:ascii="宋体" w:hAnsi="宋体" w:eastAsia="宋体" w:cs="宋体"/>
          <w:i w:val="0"/>
          <w:iCs w:val="0"/>
          <w:color w:val="auto"/>
          <w:kern w:val="0"/>
          <w:sz w:val="21"/>
          <w:szCs w:val="21"/>
          <w:highlight w:val="none"/>
          <w:lang w:eastAsia="zh-CN"/>
        </w:rPr>
        <w:t>及时</w:t>
      </w:r>
      <w:r>
        <w:rPr>
          <w:rFonts w:hint="eastAsia" w:ascii="宋体" w:hAnsi="宋体" w:eastAsia="宋体" w:cs="宋体"/>
          <w:i w:val="0"/>
          <w:iCs w:val="0"/>
          <w:color w:val="auto"/>
          <w:kern w:val="0"/>
          <w:sz w:val="21"/>
          <w:szCs w:val="21"/>
          <w:highlight w:val="none"/>
        </w:rPr>
        <w:t>对成果进行更新或整改。服务期和质保期内供应商服务响应时间为2小时、一般售后问题时间控制在4小时内、重大售后问题时间控制</w:t>
      </w:r>
      <w:r>
        <w:rPr>
          <w:rFonts w:hint="eastAsia" w:ascii="宋体" w:hAnsi="宋体" w:eastAsia="宋体" w:cs="宋体"/>
          <w:i w:val="0"/>
          <w:iCs w:val="0"/>
          <w:color w:val="auto"/>
          <w:kern w:val="0"/>
          <w:sz w:val="21"/>
          <w:szCs w:val="21"/>
          <w:highlight w:val="none"/>
          <w:lang w:val="en-US" w:eastAsia="zh-CN"/>
        </w:rPr>
        <w:t>在</w:t>
      </w:r>
      <w:r>
        <w:rPr>
          <w:rFonts w:hint="eastAsia" w:ascii="宋体" w:hAnsi="宋体" w:eastAsia="宋体" w:cs="宋体"/>
          <w:i w:val="0"/>
          <w:iCs w:val="0"/>
          <w:color w:val="auto"/>
          <w:kern w:val="0"/>
          <w:sz w:val="21"/>
          <w:szCs w:val="21"/>
          <w:highlight w:val="none"/>
        </w:rPr>
        <w:t>8小时内。在客户工作需要技术支持情况下，如需现场解决，到达现场时间不超过12小时，特殊情况下不超过24小时。</w:t>
      </w:r>
    </w:p>
    <w:p w14:paraId="7312F313">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五</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数据保密要求</w:t>
      </w:r>
    </w:p>
    <w:p w14:paraId="00CDBDC1">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（1）项目质量必须严格按照国家规范及江苏省、</w:t>
      </w:r>
      <w:r>
        <w:rPr>
          <w:rFonts w:hint="eastAsia" w:ascii="宋体" w:hAnsi="宋体" w:eastAsia="宋体" w:cs="宋体"/>
          <w:color w:val="000000"/>
          <w:kern w:val="0"/>
          <w:sz w:val="21"/>
          <w:szCs w:val="21"/>
          <w:lang w:eastAsia="zh-CN"/>
        </w:rPr>
        <w:t>盐城</w:t>
      </w:r>
      <w:r>
        <w:rPr>
          <w:rFonts w:hint="eastAsia" w:ascii="宋体" w:hAnsi="宋体" w:eastAsia="宋体" w:cs="宋体"/>
          <w:color w:val="000000"/>
          <w:kern w:val="0"/>
          <w:sz w:val="21"/>
          <w:szCs w:val="21"/>
        </w:rPr>
        <w:t>市相应地方规范、招标文件的技术规范的有关要求执行，如果在合同履行过程中有新的国家或行业（部）规范和标准出台的，则供应商应确保其合同内容达到并符合新的国家或行业（部）规范和标准，因此而增加的费用及风险由供应商自行承担。</w:t>
      </w:r>
    </w:p>
    <w:p w14:paraId="24AF4224">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（2）在项目实施期间供应商应遵守项目现场及采购人的各项规章制度。</w:t>
      </w:r>
    </w:p>
    <w:p w14:paraId="3636D7B2">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（3）供应商在项目实施期间应无条件的接受采购人的监督管理，提出的问题要及时整改。</w:t>
      </w:r>
    </w:p>
    <w:p w14:paraId="767B9ADE">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（4）为了保证项目的正常完成，投标单位须在投标文件中提供进度计划及进度保证措施方案。</w:t>
      </w:r>
    </w:p>
    <w:p w14:paraId="3B458924">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（5）投标人必须对所提供服务等知识产权方面的一切产权关系负全部责任，由此而引起的法律纠纷以及费用投标人须全部承担。</w:t>
      </w:r>
    </w:p>
    <w:p w14:paraId="46399F4F">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（6）与本项目有关的所有质量、安全问题均由供应商终身负责，如因上述原因造成的一切后果均由供应商自行承担，与他人无涉。</w:t>
      </w:r>
    </w:p>
    <w:p w14:paraId="2B473477">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（7）供应商须承诺：</w:t>
      </w:r>
      <w:r>
        <w:rPr>
          <w:rFonts w:hint="eastAsia" w:ascii="宋体" w:hAnsi="宋体" w:eastAsia="宋体" w:cs="宋体"/>
          <w:color w:val="000000"/>
          <w:kern w:val="0"/>
          <w:sz w:val="21"/>
          <w:szCs w:val="21"/>
          <w:lang w:val="en-US" w:eastAsia="zh-CN"/>
        </w:rPr>
        <w:t>严格遵守国家保密相关法律法规，</w:t>
      </w:r>
      <w:r>
        <w:rPr>
          <w:rFonts w:hint="eastAsia" w:ascii="宋体" w:hAnsi="宋体" w:eastAsia="宋体" w:cs="宋体"/>
          <w:color w:val="000000"/>
          <w:kern w:val="0"/>
          <w:sz w:val="21"/>
          <w:szCs w:val="21"/>
        </w:rPr>
        <w:t>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本合同约定承担相应违约责任。</w:t>
      </w:r>
    </w:p>
    <w:p w14:paraId="40316B32">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六</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服务期限</w:t>
      </w:r>
    </w:p>
    <w:p w14:paraId="653DD446">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自本项目合同签订之日起至2026年12月底签订土地延包合同，2027年2月底完成资料登记归档；2027年4月底配合完成不动产权证统一登记工作。有矛盾暂缓延包的须在2028年8月31日前继续提供技术服务（具体时间以上级实际工作进度要求为准）。</w:t>
      </w:r>
    </w:p>
    <w:p w14:paraId="253E1581">
      <w:pPr>
        <w:keepNext w:val="0"/>
        <w:keepLines w:val="0"/>
        <w:pageBreakBefore w:val="0"/>
        <w:widowControl w:val="0"/>
        <w:numPr>
          <w:ilvl w:val="0"/>
          <w:numId w:val="4"/>
        </w:numPr>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付款方式</w:t>
      </w:r>
    </w:p>
    <w:p w14:paraId="55325384">
      <w:pPr>
        <w:keepNext w:val="0"/>
        <w:keepLines w:val="0"/>
        <w:pageBreakBefore w:val="0"/>
        <w:widowControl w:val="0"/>
        <w:kinsoku/>
        <w:wordWrap/>
        <w:overflowPunct/>
        <w:topLinePunct w:val="0"/>
        <w:autoSpaceDE/>
        <w:autoSpaceDN/>
        <w:bidi w:val="0"/>
        <w:adjustRightInd/>
        <w:snapToGrid/>
        <w:spacing w:line="460" w:lineRule="exact"/>
        <w:ind w:firstLine="482"/>
        <w:jc w:val="left"/>
        <w:textAlignment w:val="auto"/>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 xml:space="preserve"> 本项目付预付款合同总价款金额的10%；项目服务合同签订后完成规定的土地延包合同签订工作内容（除有矛盾延缓的技术服务）且通过上级验收，同时要求项目全部资料完善、完成统一归档备案后付至合同价款的60%，余款于合同约定的总服务期满（2028年年底）后付清。</w:t>
      </w:r>
    </w:p>
    <w:p w14:paraId="44E87701">
      <w:pPr>
        <w:keepNext w:val="0"/>
        <w:keepLines w:val="0"/>
        <w:pageBreakBefore w:val="0"/>
        <w:widowControl w:val="0"/>
        <w:kinsoku/>
        <w:wordWrap/>
        <w:overflowPunct/>
        <w:topLinePunct w:val="0"/>
        <w:autoSpaceDE/>
        <w:autoSpaceDN/>
        <w:bidi w:val="0"/>
        <w:adjustRightInd/>
        <w:snapToGrid/>
        <w:spacing w:line="460" w:lineRule="exact"/>
        <w:ind w:firstLine="482"/>
        <w:jc w:val="lef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kern w:val="0"/>
          <w:sz w:val="21"/>
          <w:szCs w:val="21"/>
          <w:highlight w:val="none"/>
          <w:lang w:val="en-US" w:eastAsia="zh-CN"/>
        </w:rPr>
        <w:t>注：1、</w:t>
      </w:r>
      <w:r>
        <w:rPr>
          <w:rFonts w:hint="eastAsia" w:ascii="宋体" w:hAnsi="宋体" w:eastAsia="宋体" w:cs="宋体"/>
          <w:color w:val="000000"/>
          <w:sz w:val="21"/>
          <w:szCs w:val="21"/>
          <w:highlight w:val="none"/>
          <w:lang w:val="en-US" w:eastAsia="zh-CN"/>
        </w:rPr>
        <w:t>上述付款节点待区级财政资金到镇后按合同拨付；</w:t>
      </w:r>
    </w:p>
    <w:p w14:paraId="20AFAF48">
      <w:pPr>
        <w:keepNext w:val="0"/>
        <w:keepLines w:val="0"/>
        <w:pageBreakBefore w:val="0"/>
        <w:widowControl w:val="0"/>
        <w:kinsoku/>
        <w:wordWrap/>
        <w:overflowPunct/>
        <w:topLinePunct w:val="0"/>
        <w:autoSpaceDE/>
        <w:autoSpaceDN/>
        <w:bidi w:val="0"/>
        <w:adjustRightInd/>
        <w:snapToGrid/>
        <w:spacing w:line="460" w:lineRule="exact"/>
        <w:ind w:firstLine="898" w:firstLineChars="428"/>
        <w:jc w:val="left"/>
        <w:textAlignment w:val="auto"/>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kern w:val="0"/>
          <w:sz w:val="21"/>
          <w:szCs w:val="21"/>
          <w:highlight w:val="none"/>
          <w:lang w:val="en-US" w:eastAsia="zh-CN"/>
        </w:rPr>
        <w:t>乙方申请付款的程序应符合甲方的财务规定。甲方付款前，乙方需提供等额的正式发票及相关资料，否则甲方有权延迟付款，并不承担逾期违约责任。具体到款时间最终以财政实际拨付为准，财政审核延迟付款不视为甲方违约。</w:t>
      </w:r>
    </w:p>
    <w:p w14:paraId="5E71A020">
      <w:pPr>
        <w:keepNext w:val="0"/>
        <w:keepLines w:val="0"/>
        <w:pageBreakBefore w:val="0"/>
        <w:widowControl w:val="0"/>
        <w:kinsoku/>
        <w:wordWrap/>
        <w:overflowPunct/>
        <w:topLinePunct w:val="0"/>
        <w:autoSpaceDE/>
        <w:autoSpaceDN/>
        <w:bidi w:val="0"/>
        <w:adjustRightInd/>
        <w:snapToGrid/>
        <w:spacing w:line="460" w:lineRule="exact"/>
        <w:ind w:firstLine="482"/>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八</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其他要求</w:t>
      </w:r>
    </w:p>
    <w:p w14:paraId="704A3207">
      <w:pPr>
        <w:keepNext w:val="0"/>
        <w:keepLines w:val="0"/>
        <w:pageBreakBefore w:val="0"/>
        <w:widowControl w:val="0"/>
        <w:kinsoku/>
        <w:wordWrap/>
        <w:overflowPunct/>
        <w:topLinePunct w:val="0"/>
        <w:autoSpaceDE/>
        <w:autoSpaceDN/>
        <w:bidi w:val="0"/>
        <w:adjustRightInd/>
        <w:snapToGrid/>
        <w:spacing w:line="460" w:lineRule="exact"/>
        <w:ind w:firstLine="482"/>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为了保证</w:t>
      </w:r>
      <w:r>
        <w:rPr>
          <w:rFonts w:hint="eastAsia" w:ascii="宋体" w:hAnsi="宋体" w:eastAsia="宋体" w:cs="宋体"/>
          <w:color w:val="000000"/>
          <w:kern w:val="0"/>
          <w:sz w:val="21"/>
          <w:szCs w:val="21"/>
          <w:lang w:eastAsia="zh-CN"/>
        </w:rPr>
        <w:t>万盈镇（原万盈镇、原沈灶镇）第二轮土地承包到期后再延长30年试点技术服务项目</w:t>
      </w:r>
      <w:r>
        <w:rPr>
          <w:rFonts w:hint="eastAsia" w:ascii="宋体" w:hAnsi="宋体" w:eastAsia="宋体" w:cs="宋体"/>
          <w:color w:val="000000"/>
          <w:kern w:val="0"/>
          <w:sz w:val="21"/>
          <w:szCs w:val="21"/>
        </w:rPr>
        <w:t>数据的安全，在项目中有以下安全性要求。</w:t>
      </w:r>
    </w:p>
    <w:p w14:paraId="25DC98C6">
      <w:pPr>
        <w:keepNext w:val="0"/>
        <w:keepLines w:val="0"/>
        <w:pageBreakBefore w:val="0"/>
        <w:widowControl w:val="0"/>
        <w:kinsoku/>
        <w:wordWrap/>
        <w:overflowPunct/>
        <w:topLinePunct w:val="0"/>
        <w:autoSpaceDE/>
        <w:autoSpaceDN/>
        <w:bidi w:val="0"/>
        <w:adjustRightInd/>
        <w:snapToGrid/>
        <w:spacing w:line="460" w:lineRule="exact"/>
        <w:ind w:firstLine="482"/>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（1）数据安全性</w:t>
      </w:r>
    </w:p>
    <w:p w14:paraId="42AE5839">
      <w:pPr>
        <w:keepNext w:val="0"/>
        <w:keepLines w:val="0"/>
        <w:pageBreakBefore w:val="0"/>
        <w:widowControl w:val="0"/>
        <w:kinsoku/>
        <w:wordWrap/>
        <w:overflowPunct/>
        <w:topLinePunct w:val="0"/>
        <w:autoSpaceDE/>
        <w:autoSpaceDN/>
        <w:bidi w:val="0"/>
        <w:adjustRightInd/>
        <w:snapToGrid/>
        <w:spacing w:line="460" w:lineRule="exact"/>
        <w:ind w:firstLine="482"/>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项目要求数据建库工作全程在符合保密要求的环境下进行。供应方在实施过程中不能留有承包地块数据、自然资源数据的任何复制产品。</w:t>
      </w:r>
    </w:p>
    <w:p w14:paraId="2F8F4600">
      <w:pPr>
        <w:keepNext w:val="0"/>
        <w:keepLines w:val="0"/>
        <w:pageBreakBefore w:val="0"/>
        <w:widowControl w:val="0"/>
        <w:kinsoku/>
        <w:wordWrap/>
        <w:overflowPunct/>
        <w:topLinePunct w:val="0"/>
        <w:autoSpaceDE/>
        <w:autoSpaceDN/>
        <w:bidi w:val="0"/>
        <w:adjustRightInd/>
        <w:snapToGrid/>
        <w:spacing w:line="460" w:lineRule="exact"/>
        <w:ind w:firstLine="482"/>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（2）人员安全意识</w:t>
      </w:r>
    </w:p>
    <w:p w14:paraId="206B420F">
      <w:pPr>
        <w:keepNext w:val="0"/>
        <w:keepLines w:val="0"/>
        <w:pageBreakBefore w:val="0"/>
        <w:widowControl w:val="0"/>
        <w:kinsoku/>
        <w:wordWrap/>
        <w:overflowPunct/>
        <w:topLinePunct w:val="0"/>
        <w:autoSpaceDE/>
        <w:autoSpaceDN/>
        <w:bidi w:val="0"/>
        <w:adjustRightInd/>
        <w:snapToGrid/>
        <w:spacing w:line="460" w:lineRule="exact"/>
        <w:ind w:firstLine="482"/>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eastAsia="zh-CN"/>
        </w:rPr>
        <w:t>万盈镇（原万盈镇、原沈灶镇）第二轮土地承包到期后再延长30年试点技术服务项目</w:t>
      </w:r>
      <w:r>
        <w:rPr>
          <w:rFonts w:hint="eastAsia" w:ascii="宋体" w:hAnsi="宋体" w:eastAsia="宋体" w:cs="宋体"/>
          <w:color w:val="000000"/>
          <w:kern w:val="0"/>
          <w:sz w:val="21"/>
          <w:szCs w:val="21"/>
        </w:rPr>
        <w:t>数据具备较高的保密性，要求实施单位加强对实施人员安全意识的培养。</w:t>
      </w:r>
    </w:p>
    <w:p w14:paraId="5129EDBF">
      <w:pPr>
        <w:keepNext w:val="0"/>
        <w:keepLines w:val="0"/>
        <w:pageBreakBefore w:val="0"/>
        <w:widowControl w:val="0"/>
        <w:kinsoku/>
        <w:wordWrap/>
        <w:overflowPunct/>
        <w:topLinePunct w:val="0"/>
        <w:autoSpaceDE/>
        <w:autoSpaceDN/>
        <w:bidi w:val="0"/>
        <w:adjustRightInd/>
        <w:snapToGrid/>
        <w:spacing w:line="460" w:lineRule="exact"/>
        <w:ind w:firstLine="482"/>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（3）人员素质的保证</w:t>
      </w:r>
    </w:p>
    <w:p w14:paraId="7D15F893">
      <w:pPr>
        <w:keepNext w:val="0"/>
        <w:keepLines w:val="0"/>
        <w:pageBreakBefore w:val="0"/>
        <w:widowControl w:val="0"/>
        <w:kinsoku/>
        <w:wordWrap/>
        <w:overflowPunct/>
        <w:topLinePunct w:val="0"/>
        <w:autoSpaceDE/>
        <w:autoSpaceDN/>
        <w:bidi w:val="0"/>
        <w:adjustRightInd/>
        <w:snapToGrid/>
        <w:spacing w:line="460" w:lineRule="exact"/>
        <w:ind w:firstLine="482"/>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该项目参与人员必须是素质高、品质好、作风过硬的技术人员，尤其是在关键业务岗位上的人员，如数据管理、数据维护等。</w:t>
      </w:r>
    </w:p>
    <w:p w14:paraId="1FD9952E">
      <w:pPr>
        <w:keepNext w:val="0"/>
        <w:keepLines w:val="0"/>
        <w:pageBreakBefore w:val="0"/>
        <w:widowControl w:val="0"/>
        <w:kinsoku/>
        <w:wordWrap/>
        <w:overflowPunct/>
        <w:topLinePunct w:val="0"/>
        <w:autoSpaceDE/>
        <w:autoSpaceDN/>
        <w:bidi w:val="0"/>
        <w:adjustRightInd/>
        <w:snapToGrid/>
        <w:spacing w:line="460" w:lineRule="exact"/>
        <w:ind w:firstLine="482"/>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（4）网络安全性</w:t>
      </w:r>
    </w:p>
    <w:p w14:paraId="46374E6B">
      <w:pPr>
        <w:keepNext w:val="0"/>
        <w:keepLines w:val="0"/>
        <w:pageBreakBefore w:val="0"/>
        <w:widowControl w:val="0"/>
        <w:kinsoku/>
        <w:wordWrap/>
        <w:overflowPunct/>
        <w:topLinePunct w:val="0"/>
        <w:autoSpaceDE/>
        <w:autoSpaceDN/>
        <w:bidi w:val="0"/>
        <w:adjustRightInd/>
        <w:snapToGrid/>
        <w:spacing w:line="460" w:lineRule="exact"/>
        <w:ind w:firstLine="482"/>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网络安全包括物理的和逻辑的网络安全。要求供应商在实施的过程中，所使用的终端设备不能连接到外部网络，以免数据被非法修改和复制。</w:t>
      </w:r>
    </w:p>
    <w:p w14:paraId="55F3AE51">
      <w:pPr>
        <w:keepNext w:val="0"/>
        <w:keepLines w:val="0"/>
        <w:pageBreakBefore w:val="0"/>
        <w:widowControl w:val="0"/>
        <w:kinsoku/>
        <w:wordWrap/>
        <w:overflowPunct/>
        <w:topLinePunct w:val="0"/>
        <w:autoSpaceDE/>
        <w:autoSpaceDN/>
        <w:bidi w:val="0"/>
        <w:adjustRightInd/>
        <w:snapToGrid/>
        <w:spacing w:line="460" w:lineRule="exact"/>
        <w:ind w:firstLine="482"/>
        <w:jc w:val="left"/>
        <w:textAlignment w:val="auto"/>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rPr>
        <w:t>（</w:t>
      </w:r>
      <w:r>
        <w:rPr>
          <w:rFonts w:hint="eastAsia" w:ascii="宋体" w:hAnsi="宋体" w:eastAsia="宋体" w:cs="宋体"/>
          <w:color w:val="000000"/>
          <w:kern w:val="0"/>
          <w:sz w:val="21"/>
          <w:szCs w:val="21"/>
          <w:highlight w:val="none"/>
          <w:lang w:val="en-US" w:eastAsia="zh-CN"/>
        </w:rPr>
        <w:t>5</w:t>
      </w:r>
      <w:r>
        <w:rPr>
          <w:rFonts w:hint="eastAsia" w:ascii="宋体" w:hAnsi="宋体" w:eastAsia="宋体" w:cs="宋体"/>
          <w:color w:val="000000"/>
          <w:kern w:val="0"/>
          <w:sz w:val="21"/>
          <w:szCs w:val="21"/>
          <w:highlight w:val="none"/>
        </w:rPr>
        <w:t>）</w:t>
      </w:r>
      <w:r>
        <w:rPr>
          <w:rFonts w:hint="eastAsia" w:ascii="宋体" w:hAnsi="宋体" w:eastAsia="宋体" w:cs="宋体"/>
          <w:color w:val="000000"/>
          <w:kern w:val="0"/>
          <w:sz w:val="21"/>
          <w:szCs w:val="21"/>
          <w:highlight w:val="none"/>
          <w:lang w:val="en-US" w:eastAsia="zh-CN"/>
        </w:rPr>
        <w:t>项目组人员及驻场时间要求：每个标段项目组设项目负责人1人（须具有测绘类或土地类中级及以上职称），须在投标截止之日起无在手项目；</w:t>
      </w:r>
      <w:r>
        <w:rPr>
          <w:rFonts w:hint="eastAsia" w:ascii="宋体" w:hAnsi="宋体" w:eastAsia="宋体" w:cs="宋体"/>
          <w:b/>
          <w:bCs/>
          <w:color w:val="000000"/>
          <w:kern w:val="0"/>
          <w:sz w:val="21"/>
          <w:szCs w:val="21"/>
          <w:highlight w:val="none"/>
          <w:lang w:val="en-US" w:eastAsia="zh-CN"/>
        </w:rPr>
        <w:t>合同履约期间，项目组全体人员不得外出承接或服务其他任何项目。</w:t>
      </w:r>
      <w:r>
        <w:rPr>
          <w:rFonts w:hint="eastAsia" w:ascii="宋体" w:hAnsi="宋体" w:eastAsia="宋体" w:cs="宋体"/>
          <w:color w:val="000000"/>
          <w:kern w:val="0"/>
          <w:sz w:val="21"/>
          <w:szCs w:val="21"/>
          <w:highlight w:val="none"/>
          <w:lang w:val="en-US" w:eastAsia="zh-CN"/>
        </w:rPr>
        <w:t>一标段驻场技术及管理人员（除项目负责人以外）有8人，至少有4人具有测绘类或土地类助理级职称；二标段驻场技术及管理人员（除项目负责人以外）有10人，至少有5人具有测绘类或土地类助理级职称。以上人员须在中标人单位参加社会保险，在进场时须提供社保部门出具的2026年1月（含1月）至投标截止之日连续3个月的社会保险等人员身份证明材料，否则不得列为项目组成员。技术服务合同签订后，中标单位项目组所有人员必须在一周内进场服务，否则招标人有权解除服务合同。在农户延包合同签订工作完成之前，招标人将对项目组成员进行严格考勤，每个项目组成员每月驻场时间不少于22天，项目负责人每缺勤1天扣减2000元，其他人员每缺勤1天扣减1000元，在结算项目服务费时扣除。项目组负责人和技术人员如月缺勤超10天以上，招标人有权解除服务合同。</w:t>
      </w:r>
    </w:p>
    <w:p w14:paraId="6EE77365">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rPr>
        <w:t>（</w:t>
      </w:r>
      <w:r>
        <w:rPr>
          <w:rFonts w:hint="eastAsia" w:ascii="宋体" w:hAnsi="宋体" w:eastAsia="宋体" w:cs="宋体"/>
          <w:color w:val="000000"/>
          <w:kern w:val="0"/>
          <w:sz w:val="21"/>
          <w:szCs w:val="21"/>
          <w:lang w:val="en-US" w:eastAsia="zh-CN"/>
        </w:rPr>
        <w:t>6</w:t>
      </w:r>
      <w:r>
        <w:rPr>
          <w:rFonts w:hint="eastAsia" w:ascii="宋体" w:hAnsi="宋体" w:eastAsia="宋体" w:cs="宋体"/>
          <w:color w:val="000000"/>
          <w:kern w:val="0"/>
          <w:sz w:val="21"/>
          <w:szCs w:val="21"/>
        </w:rPr>
        <w:t>）</w:t>
      </w:r>
      <w:r>
        <w:rPr>
          <w:rFonts w:hint="eastAsia" w:ascii="宋体" w:hAnsi="宋体" w:eastAsia="宋体" w:cs="宋体"/>
          <w:color w:val="000000"/>
          <w:kern w:val="0"/>
          <w:sz w:val="21"/>
          <w:szCs w:val="21"/>
          <w:lang w:eastAsia="zh-CN"/>
        </w:rPr>
        <w:t>招标人根据项目实施进度有权随时要求中标人加派项目组人员，</w:t>
      </w:r>
      <w:r>
        <w:rPr>
          <w:rFonts w:hint="eastAsia" w:ascii="宋体" w:hAnsi="宋体" w:eastAsia="宋体" w:cs="宋体"/>
          <w:color w:val="000000"/>
          <w:kern w:val="0"/>
          <w:sz w:val="21"/>
          <w:szCs w:val="21"/>
          <w:lang w:val="en-US" w:eastAsia="zh-CN"/>
        </w:rPr>
        <w:t>招标人提供中标人项目部办公场所。</w:t>
      </w:r>
    </w:p>
    <w:p w14:paraId="41C81DA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r>
    </w:p>
    <w:p w14:paraId="3880A673">
      <w:pPr>
        <w:pStyle w:val="15"/>
        <w:keepNext/>
        <w:spacing w:beforeAutospacing="0" w:afterAutospacing="0"/>
        <w:jc w:val="center"/>
        <w:rPr>
          <w:rFonts w:hint="eastAsia" w:ascii="宋体" w:hAnsi="宋体" w:eastAsia="宋体" w:cs="宋体"/>
          <w:highlight w:val="none"/>
        </w:rPr>
      </w:pPr>
      <w:r>
        <w:rPr>
          <w:rFonts w:hint="eastAsia" w:ascii="宋体" w:hAnsi="宋体" w:eastAsia="宋体" w:cs="宋体"/>
          <w:color w:val="000000"/>
          <w:sz w:val="44"/>
          <w:szCs w:val="44"/>
          <w:highlight w:val="none"/>
        </w:rPr>
        <w:t xml:space="preserve">第五章  </w:t>
      </w:r>
      <w:r>
        <w:rPr>
          <w:rFonts w:hint="eastAsia" w:ascii="宋体" w:hAnsi="宋体" w:eastAsia="宋体" w:cs="宋体"/>
          <w:b/>
          <w:color w:val="000000"/>
          <w:sz w:val="44"/>
          <w:szCs w:val="44"/>
          <w:highlight w:val="none"/>
        </w:rPr>
        <w:t>评标方法与评标标准</w:t>
      </w:r>
    </w:p>
    <w:p w14:paraId="423C8189">
      <w:pPr>
        <w:pStyle w:val="15"/>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668FEA9F">
      <w:pPr>
        <w:keepNext w:val="0"/>
        <w:keepLines w:val="0"/>
        <w:pageBreakBefore w:val="0"/>
        <w:widowControl w:val="0"/>
        <w:kinsoku/>
        <w:wordWrap/>
        <w:overflowPunct/>
        <w:topLinePunct w:val="0"/>
        <w:autoSpaceDE/>
        <w:autoSpaceDN/>
        <w:bidi w:val="0"/>
        <w:snapToGrid w:val="0"/>
        <w:spacing w:line="500" w:lineRule="exact"/>
        <w:ind w:firstLine="422" w:firstLineChars="200"/>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一、定标原则</w:t>
      </w:r>
    </w:p>
    <w:p w14:paraId="2C328EAE">
      <w:pPr>
        <w:keepNext w:val="0"/>
        <w:keepLines w:val="0"/>
        <w:pageBreakBefore w:val="0"/>
        <w:widowControl w:val="0"/>
        <w:kinsoku/>
        <w:wordWrap/>
        <w:overflowPunct/>
        <w:topLinePunct w:val="0"/>
        <w:autoSpaceDE/>
        <w:autoSpaceDN/>
        <w:bidi w:val="0"/>
        <w:snapToGrid w:val="0"/>
        <w:spacing w:line="500" w:lineRule="exact"/>
        <w:ind w:firstLine="420" w:firstLineChars="200"/>
        <w:textAlignment w:val="auto"/>
        <w:rPr>
          <w:rFonts w:hint="eastAsia" w:ascii="宋体" w:hAnsi="宋体" w:eastAsia="宋体" w:cs="宋体"/>
          <w:color w:val="000000"/>
          <w:kern w:val="0"/>
          <w:sz w:val="21"/>
          <w:szCs w:val="21"/>
          <w:highlight w:val="none"/>
        </w:rPr>
      </w:pPr>
      <w:r>
        <w:rPr>
          <w:rFonts w:hint="eastAsia" w:ascii="宋体" w:hAnsi="宋体" w:eastAsia="宋体" w:cs="宋体"/>
          <w:bCs/>
          <w:color w:val="000000"/>
          <w:sz w:val="21"/>
          <w:szCs w:val="21"/>
          <w:highlight w:val="none"/>
        </w:rPr>
        <w:t>本项目采用</w:t>
      </w:r>
      <w:r>
        <w:rPr>
          <w:rFonts w:hint="eastAsia" w:ascii="宋体" w:hAnsi="宋体" w:eastAsia="宋体" w:cs="宋体"/>
          <w:bCs/>
          <w:color w:val="000000"/>
          <w:sz w:val="21"/>
          <w:szCs w:val="21"/>
          <w:highlight w:val="none"/>
          <w:u w:val="single"/>
        </w:rPr>
        <w:t xml:space="preserve"> 综合评分 </w:t>
      </w:r>
      <w:r>
        <w:rPr>
          <w:rFonts w:hint="eastAsia" w:ascii="宋体" w:hAnsi="宋体" w:eastAsia="宋体" w:cs="宋体"/>
          <w:bCs/>
          <w:color w:val="000000"/>
          <w:sz w:val="21"/>
          <w:szCs w:val="21"/>
          <w:highlight w:val="none"/>
        </w:rPr>
        <w:t>法</w:t>
      </w:r>
      <w:r>
        <w:rPr>
          <w:rFonts w:hint="eastAsia" w:ascii="宋体" w:hAnsi="宋体" w:eastAsia="宋体" w:cs="宋体"/>
          <w:bCs/>
          <w:color w:val="000000"/>
          <w:sz w:val="21"/>
          <w:szCs w:val="21"/>
          <w:highlight w:val="none"/>
          <w:lang w:eastAsia="zh-CN"/>
        </w:rPr>
        <w:t>，</w:t>
      </w:r>
      <w:r>
        <w:rPr>
          <w:rFonts w:hint="eastAsia" w:ascii="宋体" w:hAnsi="宋体" w:eastAsia="宋体" w:cs="宋体"/>
          <w:color w:val="000000"/>
          <w:kern w:val="0"/>
          <w:sz w:val="21"/>
          <w:szCs w:val="21"/>
          <w:highlight w:val="none"/>
        </w:rPr>
        <w:t>评标结果按评审后得分由高到低顺序排列。得分相同的，按投标报价由低到高顺序排列。得分且投标报价相同的</w:t>
      </w:r>
      <w:r>
        <w:rPr>
          <w:rFonts w:hint="eastAsia" w:ascii="宋体" w:hAnsi="宋体" w:eastAsia="宋体" w:cs="宋体"/>
          <w:color w:val="000000"/>
          <w:kern w:val="0"/>
          <w:sz w:val="21"/>
          <w:szCs w:val="21"/>
          <w:highlight w:val="none"/>
          <w:lang w:val="en-US" w:eastAsia="zh-CN"/>
        </w:rPr>
        <w:t>并列</w:t>
      </w:r>
      <w:r>
        <w:rPr>
          <w:rFonts w:hint="eastAsia" w:ascii="宋体" w:hAnsi="宋体" w:eastAsia="宋体" w:cs="宋体"/>
          <w:color w:val="000000"/>
          <w:kern w:val="0"/>
          <w:sz w:val="21"/>
          <w:szCs w:val="21"/>
          <w:highlight w:val="none"/>
        </w:rPr>
        <w:t>。投标文件满足招标文件全部实质性要求，且按照评审因素的量化指标评审得分最高的投标人为排名第一的中标候选人，本项目选取1名中标候选人。</w:t>
      </w:r>
    </w:p>
    <w:p w14:paraId="7A676DAE">
      <w:pPr>
        <w:pStyle w:val="15"/>
        <w:keepNext w:val="0"/>
        <w:keepLines w:val="0"/>
        <w:pageBreakBefore w:val="0"/>
        <w:widowControl w:val="0"/>
        <w:kinsoku/>
        <w:wordWrap/>
        <w:overflowPunct/>
        <w:topLinePunct w:val="0"/>
        <w:autoSpaceDE/>
        <w:autoSpaceDN/>
        <w:bidi w:val="0"/>
        <w:spacing w:before="120" w:beforeAutospacing="0" w:after="120" w:afterAutospacing="0" w:line="500" w:lineRule="exact"/>
        <w:ind w:firstLine="441"/>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政府采购政策功能落实</w:t>
      </w:r>
    </w:p>
    <w:p w14:paraId="20E729E2">
      <w:pPr>
        <w:pStyle w:val="15"/>
        <w:keepNext w:val="0"/>
        <w:keepLines w:val="0"/>
        <w:pageBreakBefore w:val="0"/>
        <w:widowControl w:val="0"/>
        <w:kinsoku/>
        <w:wordWrap/>
        <w:overflowPunct/>
        <w:topLinePunct w:val="0"/>
        <w:autoSpaceDE/>
        <w:autoSpaceDN/>
        <w:bidi w:val="0"/>
        <w:spacing w:before="120" w:beforeAutospacing="0" w:after="120" w:afterAutospacing="0" w:line="500" w:lineRule="exact"/>
        <w:ind w:firstLine="48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1、小微型企业价格扣除</w:t>
      </w:r>
    </w:p>
    <w:p w14:paraId="5A19E5A0">
      <w:pPr>
        <w:pStyle w:val="24"/>
        <w:keepNext w:val="0"/>
        <w:keepLines w:val="0"/>
        <w:pageBreakBefore w:val="0"/>
        <w:widowControl w:val="0"/>
        <w:kinsoku/>
        <w:wordWrap/>
        <w:overflowPunct/>
        <w:topLinePunct w:val="0"/>
        <w:autoSpaceDE/>
        <w:autoSpaceDN/>
        <w:bidi w:val="0"/>
        <w:spacing w:line="500" w:lineRule="exact"/>
        <w:ind w:firstLine="315" w:firstLineChars="15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（1）本项目不专门面向中小企业采购，对</w:t>
      </w:r>
      <w:r>
        <w:rPr>
          <w:rFonts w:hint="eastAsia" w:ascii="宋体" w:hAnsi="宋体" w:eastAsia="宋体" w:cs="宋体"/>
          <w:sz w:val="21"/>
          <w:szCs w:val="21"/>
          <w:highlight w:val="none"/>
          <w:lang w:val="en-US" w:eastAsia="zh-CN"/>
        </w:rPr>
        <w:t>符合规定的</w:t>
      </w:r>
      <w:r>
        <w:rPr>
          <w:rFonts w:hint="eastAsia" w:ascii="宋体" w:hAnsi="宋体" w:eastAsia="宋体" w:cs="宋体"/>
          <w:sz w:val="21"/>
          <w:szCs w:val="21"/>
          <w:highlight w:val="none"/>
        </w:rPr>
        <w:t>小型和微型企业</w:t>
      </w:r>
      <w:r>
        <w:rPr>
          <w:rFonts w:hint="eastAsia" w:ascii="宋体" w:hAnsi="宋体" w:eastAsia="宋体" w:cs="宋体"/>
          <w:sz w:val="21"/>
          <w:szCs w:val="21"/>
          <w:highlight w:val="none"/>
          <w:lang w:val="en-US" w:eastAsia="zh-CN"/>
        </w:rPr>
        <w:t>报价</w:t>
      </w:r>
      <w:r>
        <w:rPr>
          <w:rFonts w:hint="eastAsia" w:ascii="宋体" w:hAnsi="宋体" w:eastAsia="宋体" w:cs="宋体"/>
          <w:sz w:val="21"/>
          <w:szCs w:val="21"/>
          <w:highlight w:val="none"/>
        </w:rPr>
        <w:t>给予20%的扣除价格，用扣除后的价格参与评审。</w:t>
      </w:r>
    </w:p>
    <w:p w14:paraId="73B3C08A">
      <w:pPr>
        <w:pStyle w:val="15"/>
        <w:keepNext w:val="0"/>
        <w:keepLines w:val="0"/>
        <w:pageBreakBefore w:val="0"/>
        <w:widowControl w:val="0"/>
        <w:kinsoku/>
        <w:wordWrap/>
        <w:overflowPunct/>
        <w:topLinePunct w:val="0"/>
        <w:autoSpaceDE/>
        <w:autoSpaceDN/>
        <w:bidi w:val="0"/>
        <w:spacing w:before="120" w:beforeAutospacing="0" w:after="120" w:afterAutospacing="0" w:line="500" w:lineRule="exact"/>
        <w:ind w:firstLine="36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（2）供应商需按照采购文件的要求提供相应的《</w:t>
      </w:r>
      <w:r>
        <w:rPr>
          <w:rFonts w:hint="eastAsia" w:ascii="宋体" w:hAnsi="宋体" w:eastAsia="宋体" w:cs="宋体"/>
          <w:color w:val="auto"/>
          <w:sz w:val="21"/>
          <w:szCs w:val="21"/>
          <w:highlight w:val="none"/>
          <w:lang w:val="en-US" w:eastAsia="zh-CN"/>
        </w:rPr>
        <w:t>中小</w:t>
      </w:r>
      <w:r>
        <w:rPr>
          <w:rFonts w:hint="eastAsia" w:ascii="宋体" w:hAnsi="宋体" w:eastAsia="宋体" w:cs="宋体"/>
          <w:color w:val="auto"/>
          <w:sz w:val="21"/>
          <w:szCs w:val="21"/>
          <w:highlight w:val="none"/>
        </w:rPr>
        <w:t>企业声明函</w:t>
      </w:r>
      <w:r>
        <w:rPr>
          <w:rFonts w:hint="eastAsia" w:ascii="宋体" w:hAnsi="宋体" w:eastAsia="宋体" w:cs="宋体"/>
          <w:color w:val="000000"/>
          <w:sz w:val="21"/>
          <w:szCs w:val="21"/>
          <w:highlight w:val="none"/>
        </w:rPr>
        <w:t>》。</w:t>
      </w:r>
    </w:p>
    <w:p w14:paraId="73ACDBA4">
      <w:pPr>
        <w:pStyle w:val="15"/>
        <w:keepNext w:val="0"/>
        <w:keepLines w:val="0"/>
        <w:pageBreakBefore w:val="0"/>
        <w:widowControl w:val="0"/>
        <w:kinsoku/>
        <w:wordWrap/>
        <w:overflowPunct/>
        <w:topLinePunct w:val="0"/>
        <w:autoSpaceDE/>
        <w:autoSpaceDN/>
        <w:bidi w:val="0"/>
        <w:spacing w:before="120" w:beforeAutospacing="0" w:after="120" w:afterAutospacing="0" w:line="500" w:lineRule="exact"/>
        <w:ind w:firstLine="36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（3）企业标准请参照《关于印发中小企业划型标准规定的通知》（工信部联企业</w:t>
      </w:r>
      <w:r>
        <w:rPr>
          <w:rFonts w:hint="eastAsia" w:ascii="宋体" w:hAnsi="宋体" w:eastAsia="宋体" w:cs="宋体"/>
          <w:color w:val="000000"/>
          <w:sz w:val="21"/>
          <w:szCs w:val="21"/>
          <w:highlight w:val="none"/>
          <w:lang w:eastAsia="zh-CN"/>
        </w:rPr>
        <w:t>〔2011〕300号</w:t>
      </w:r>
      <w:r>
        <w:rPr>
          <w:rFonts w:hint="eastAsia" w:ascii="宋体" w:hAnsi="宋体" w:eastAsia="宋体" w:cs="宋体"/>
          <w:color w:val="000000"/>
          <w:sz w:val="21"/>
          <w:szCs w:val="21"/>
          <w:highlight w:val="none"/>
        </w:rPr>
        <w:t>）文件规定自行填写。</w:t>
      </w:r>
    </w:p>
    <w:p w14:paraId="123A9836">
      <w:pPr>
        <w:pStyle w:val="15"/>
        <w:keepNext w:val="0"/>
        <w:keepLines w:val="0"/>
        <w:pageBreakBefore w:val="0"/>
        <w:widowControl w:val="0"/>
        <w:kinsoku/>
        <w:wordWrap/>
        <w:overflowPunct/>
        <w:topLinePunct w:val="0"/>
        <w:autoSpaceDE/>
        <w:autoSpaceDN/>
        <w:bidi w:val="0"/>
        <w:spacing w:before="120" w:beforeAutospacing="0" w:after="120" w:afterAutospacing="0" w:line="500" w:lineRule="exact"/>
        <w:ind w:firstLine="48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2、残疾人福利单位价格扣除</w:t>
      </w:r>
    </w:p>
    <w:p w14:paraId="48BAD8C1">
      <w:pPr>
        <w:pStyle w:val="15"/>
        <w:keepNext w:val="0"/>
        <w:keepLines w:val="0"/>
        <w:pageBreakBefore w:val="0"/>
        <w:widowControl w:val="0"/>
        <w:kinsoku/>
        <w:wordWrap/>
        <w:overflowPunct/>
        <w:topLinePunct w:val="0"/>
        <w:autoSpaceDE/>
        <w:autoSpaceDN/>
        <w:bidi w:val="0"/>
        <w:spacing w:before="120" w:beforeAutospacing="0" w:after="120" w:afterAutospacing="0" w:line="500" w:lineRule="exact"/>
        <w:ind w:left="120" w:firstLine="360"/>
        <w:textAlignment w:val="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（1）本项目对残疾人福利性单位视同小型、微型企业，给予</w:t>
      </w:r>
      <w:r>
        <w:rPr>
          <w:rFonts w:hint="eastAsia" w:ascii="宋体" w:hAnsi="宋体" w:eastAsia="宋体" w:cs="宋体"/>
          <w:color w:val="000000"/>
          <w:sz w:val="21"/>
          <w:szCs w:val="21"/>
          <w:highlight w:val="none"/>
          <w:u w:val="single"/>
        </w:rPr>
        <w:t>20%</w:t>
      </w:r>
      <w:r>
        <w:rPr>
          <w:rFonts w:hint="eastAsia" w:ascii="宋体" w:hAnsi="宋体" w:eastAsia="宋体" w:cs="宋体"/>
          <w:color w:val="000000"/>
          <w:sz w:val="21"/>
          <w:szCs w:val="21"/>
          <w:highlight w:val="none"/>
          <w:u w:val="single"/>
          <w:lang w:eastAsia="zh-CN"/>
        </w:rPr>
        <w:t>的价格扣除。</w:t>
      </w:r>
    </w:p>
    <w:p w14:paraId="6DDC4FB5">
      <w:pPr>
        <w:pStyle w:val="15"/>
        <w:keepNext w:val="0"/>
        <w:keepLines w:val="0"/>
        <w:pageBreakBefore w:val="0"/>
        <w:widowControl w:val="0"/>
        <w:kinsoku/>
        <w:wordWrap/>
        <w:overflowPunct/>
        <w:topLinePunct w:val="0"/>
        <w:autoSpaceDE/>
        <w:autoSpaceDN/>
        <w:bidi w:val="0"/>
        <w:spacing w:before="120" w:beforeAutospacing="0" w:after="120" w:afterAutospacing="0" w:line="500" w:lineRule="exact"/>
        <w:ind w:left="120" w:firstLine="36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（2）残疾人福利单位需按照采购文件的要求提供《残疾人福利性单位声明函》。</w:t>
      </w:r>
    </w:p>
    <w:p w14:paraId="05D26FC5">
      <w:pPr>
        <w:pStyle w:val="15"/>
        <w:keepNext w:val="0"/>
        <w:keepLines w:val="0"/>
        <w:pageBreakBefore w:val="0"/>
        <w:widowControl w:val="0"/>
        <w:kinsoku/>
        <w:wordWrap/>
        <w:overflowPunct/>
        <w:topLinePunct w:val="0"/>
        <w:autoSpaceDE/>
        <w:autoSpaceDN/>
        <w:bidi w:val="0"/>
        <w:spacing w:before="120" w:beforeAutospacing="0" w:after="120" w:afterAutospacing="0" w:line="500" w:lineRule="exact"/>
        <w:ind w:left="120" w:firstLine="36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（3）残疾人福利单位标准请参照《关于促进残疾人就业政府采购政策的通知》（财库〔2017〕141号）。</w:t>
      </w:r>
    </w:p>
    <w:p w14:paraId="04DB8360">
      <w:pPr>
        <w:pStyle w:val="15"/>
        <w:keepNext w:val="0"/>
        <w:keepLines w:val="0"/>
        <w:pageBreakBefore w:val="0"/>
        <w:widowControl w:val="0"/>
        <w:kinsoku/>
        <w:wordWrap/>
        <w:overflowPunct/>
        <w:topLinePunct w:val="0"/>
        <w:autoSpaceDE/>
        <w:autoSpaceDN/>
        <w:bidi w:val="0"/>
        <w:spacing w:before="120" w:beforeAutospacing="0" w:after="120" w:afterAutospacing="0" w:line="500" w:lineRule="exact"/>
        <w:ind w:firstLine="48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3、监狱和戒毒企业价格扣除</w:t>
      </w:r>
    </w:p>
    <w:p w14:paraId="7D3DF823">
      <w:pPr>
        <w:pStyle w:val="15"/>
        <w:keepNext w:val="0"/>
        <w:keepLines w:val="0"/>
        <w:pageBreakBefore w:val="0"/>
        <w:widowControl w:val="0"/>
        <w:kinsoku/>
        <w:wordWrap/>
        <w:overflowPunct/>
        <w:topLinePunct w:val="0"/>
        <w:autoSpaceDE/>
        <w:autoSpaceDN/>
        <w:bidi w:val="0"/>
        <w:spacing w:before="120" w:beforeAutospacing="0" w:after="120" w:afterAutospacing="0" w:line="500" w:lineRule="exact"/>
        <w:ind w:left="120" w:firstLine="360"/>
        <w:textAlignment w:val="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（1）本项目对监狱和戒毒企业（简称监狱企业）视同小型、微型企业，给予</w:t>
      </w:r>
      <w:r>
        <w:rPr>
          <w:rFonts w:hint="eastAsia" w:ascii="宋体" w:hAnsi="宋体" w:eastAsia="宋体" w:cs="宋体"/>
          <w:color w:val="000000"/>
          <w:sz w:val="21"/>
          <w:szCs w:val="21"/>
          <w:highlight w:val="none"/>
          <w:u w:val="single"/>
        </w:rPr>
        <w:t>20%</w:t>
      </w:r>
      <w:r>
        <w:rPr>
          <w:rFonts w:hint="eastAsia" w:ascii="宋体" w:hAnsi="宋体" w:eastAsia="宋体" w:cs="宋体"/>
          <w:color w:val="000000"/>
          <w:sz w:val="21"/>
          <w:szCs w:val="21"/>
          <w:highlight w:val="none"/>
          <w:u w:val="single"/>
          <w:lang w:eastAsia="zh-CN"/>
        </w:rPr>
        <w:t>的价格扣除。</w:t>
      </w:r>
    </w:p>
    <w:p w14:paraId="734F155E">
      <w:pPr>
        <w:pStyle w:val="15"/>
        <w:keepNext w:val="0"/>
        <w:keepLines w:val="0"/>
        <w:pageBreakBefore w:val="0"/>
        <w:widowControl w:val="0"/>
        <w:kinsoku/>
        <w:wordWrap/>
        <w:overflowPunct/>
        <w:topLinePunct w:val="0"/>
        <w:autoSpaceDE/>
        <w:autoSpaceDN/>
        <w:bidi w:val="0"/>
        <w:spacing w:before="120" w:beforeAutospacing="0" w:after="120" w:afterAutospacing="0" w:line="500" w:lineRule="exact"/>
        <w:ind w:firstLine="48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48706D45">
      <w:pPr>
        <w:pStyle w:val="15"/>
        <w:keepNext w:val="0"/>
        <w:keepLines w:val="0"/>
        <w:pageBreakBefore w:val="0"/>
        <w:widowControl w:val="0"/>
        <w:kinsoku/>
        <w:wordWrap/>
        <w:overflowPunct/>
        <w:topLinePunct w:val="0"/>
        <w:autoSpaceDE/>
        <w:autoSpaceDN/>
        <w:bidi w:val="0"/>
        <w:spacing w:before="120" w:beforeAutospacing="0" w:after="120" w:afterAutospacing="0" w:line="500" w:lineRule="exact"/>
        <w:ind w:firstLine="48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（3）监狱企业标准请参照《关于政府采购支持监狱企业发展有关问题的通知》（财库</w:t>
      </w:r>
      <w:r>
        <w:rPr>
          <w:rFonts w:hint="eastAsia" w:ascii="宋体" w:hAnsi="宋体" w:eastAsia="宋体" w:cs="宋体"/>
          <w:color w:val="000000"/>
          <w:sz w:val="21"/>
          <w:szCs w:val="21"/>
          <w:highlight w:val="none"/>
          <w:lang w:eastAsia="zh-CN"/>
        </w:rPr>
        <w:t>〔2014〕68号</w:t>
      </w:r>
      <w:r>
        <w:rPr>
          <w:rFonts w:hint="eastAsia" w:ascii="宋体" w:hAnsi="宋体" w:eastAsia="宋体" w:cs="宋体"/>
          <w:color w:val="000000"/>
          <w:sz w:val="21"/>
          <w:szCs w:val="21"/>
          <w:highlight w:val="none"/>
        </w:rPr>
        <w:t>）。</w:t>
      </w:r>
    </w:p>
    <w:p w14:paraId="70D78B33">
      <w:pPr>
        <w:pStyle w:val="15"/>
        <w:keepNext w:val="0"/>
        <w:keepLines w:val="0"/>
        <w:pageBreakBefore w:val="0"/>
        <w:widowControl w:val="0"/>
        <w:kinsoku/>
        <w:wordWrap/>
        <w:overflowPunct/>
        <w:topLinePunct w:val="0"/>
        <w:autoSpaceDE/>
        <w:autoSpaceDN/>
        <w:bidi w:val="0"/>
        <w:spacing w:before="120" w:beforeAutospacing="0" w:after="120" w:afterAutospacing="0" w:line="500" w:lineRule="exact"/>
        <w:ind w:firstLine="48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4、残疾人福利单位、监狱企业属于小型、微型企业的，不重复享受政策。</w:t>
      </w:r>
    </w:p>
    <w:p w14:paraId="018A8531">
      <w:pPr>
        <w:pStyle w:val="15"/>
        <w:keepNext w:val="0"/>
        <w:keepLines w:val="0"/>
        <w:pageBreakBefore w:val="0"/>
        <w:widowControl w:val="0"/>
        <w:kinsoku/>
        <w:wordWrap/>
        <w:overflowPunct/>
        <w:topLinePunct w:val="0"/>
        <w:autoSpaceDE/>
        <w:autoSpaceDN/>
        <w:bidi w:val="0"/>
        <w:spacing w:before="120" w:beforeAutospacing="0" w:after="120" w:afterAutospacing="0" w:line="500" w:lineRule="exact"/>
        <w:ind w:firstLine="48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rPr>
        <w:t>以上的，给予联合体或者大中型企业</w:t>
      </w:r>
      <w:r>
        <w:rPr>
          <w:rFonts w:hint="eastAsia" w:ascii="宋体" w:hAnsi="宋体" w:eastAsia="宋体" w:cs="宋体"/>
          <w:color w:val="000000"/>
          <w:sz w:val="21"/>
          <w:szCs w:val="21"/>
          <w:highlight w:val="none"/>
          <w:u w:val="single"/>
        </w:rPr>
        <w:t>6%</w:t>
      </w:r>
      <w:r>
        <w:rPr>
          <w:rFonts w:hint="eastAsia" w:ascii="宋体" w:hAnsi="宋体" w:eastAsia="宋体" w:cs="宋体"/>
          <w:color w:val="000000"/>
          <w:sz w:val="21"/>
          <w:szCs w:val="21"/>
          <w:highlight w:val="none"/>
        </w:rPr>
        <w:t>的价格扣除，用扣除后的价格参与评审。</w:t>
      </w:r>
    </w:p>
    <w:p w14:paraId="2E3EB1FA">
      <w:pPr>
        <w:pStyle w:val="15"/>
        <w:keepNext w:val="0"/>
        <w:keepLines w:val="0"/>
        <w:pageBreakBefore w:val="0"/>
        <w:widowControl w:val="0"/>
        <w:kinsoku/>
        <w:wordWrap/>
        <w:overflowPunct/>
        <w:topLinePunct w:val="0"/>
        <w:autoSpaceDE/>
        <w:autoSpaceDN/>
        <w:bidi w:val="0"/>
        <w:spacing w:before="120" w:beforeAutospacing="0" w:after="120" w:afterAutospacing="0" w:line="500" w:lineRule="exact"/>
        <w:ind w:left="120" w:firstLine="360"/>
        <w:textAlignment w:val="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6、联合体各方均为小型、微型企业（残疾人福利单位、监狱企业）的，联合体享受</w:t>
      </w:r>
      <w:r>
        <w:rPr>
          <w:rFonts w:hint="eastAsia" w:ascii="宋体" w:hAnsi="宋体" w:eastAsia="宋体" w:cs="宋体"/>
          <w:color w:val="000000"/>
          <w:sz w:val="21"/>
          <w:szCs w:val="21"/>
          <w:highlight w:val="none"/>
          <w:u w:val="single"/>
        </w:rPr>
        <w:t>20%</w:t>
      </w:r>
      <w:r>
        <w:rPr>
          <w:rFonts w:hint="eastAsia" w:ascii="宋体" w:hAnsi="宋体" w:eastAsia="宋体" w:cs="宋体"/>
          <w:color w:val="000000"/>
          <w:sz w:val="21"/>
          <w:szCs w:val="21"/>
          <w:highlight w:val="none"/>
          <w:u w:val="single"/>
          <w:lang w:eastAsia="zh-CN"/>
        </w:rPr>
        <w:t>的价格扣除。</w:t>
      </w:r>
    </w:p>
    <w:p w14:paraId="795098B7">
      <w:pPr>
        <w:keepNext w:val="0"/>
        <w:keepLines w:val="0"/>
        <w:pageBreakBefore w:val="0"/>
        <w:widowControl w:val="0"/>
        <w:kinsoku/>
        <w:wordWrap/>
        <w:overflowPunct/>
        <w:topLinePunct w:val="0"/>
        <w:autoSpaceDE/>
        <w:autoSpaceDN/>
        <w:bidi w:val="0"/>
        <w:spacing w:line="50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1"/>
          <w:szCs w:val="21"/>
          <w:highlight w:val="none"/>
        </w:rPr>
        <w:t>如属政府强制采购产品未提供认证证书的或认证证书提供不全的将视为未实质性响应采购要求</w:t>
      </w:r>
      <w:r>
        <w:rPr>
          <w:rFonts w:hint="eastAsia" w:ascii="宋体" w:hAnsi="宋体" w:eastAsia="宋体" w:cs="宋体"/>
          <w:i/>
          <w:color w:val="auto"/>
          <w:kern w:val="0"/>
          <w:sz w:val="21"/>
          <w:szCs w:val="21"/>
          <w:highlight w:val="none"/>
        </w:rPr>
        <w:t>。</w:t>
      </w:r>
      <w:r>
        <w:rPr>
          <w:rFonts w:hint="eastAsia" w:ascii="宋体" w:hAnsi="宋体" w:eastAsia="宋体" w:cs="宋体"/>
          <w:color w:val="auto"/>
          <w:kern w:val="0"/>
          <w:sz w:val="21"/>
          <w:szCs w:val="21"/>
          <w:highlight w:val="none"/>
        </w:rPr>
        <w:t>其他条件相同情况下，应当优先采购节能产品、环境标志产品。</w:t>
      </w:r>
    </w:p>
    <w:p w14:paraId="7CC0C503">
      <w:pPr>
        <w:pStyle w:val="15"/>
        <w:spacing w:before="120" w:beforeAutospacing="0" w:after="120" w:afterAutospacing="0" w:line="0" w:lineRule="atLeast"/>
        <w:ind w:firstLine="482"/>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评标方法与评标标准</w:t>
      </w:r>
    </w:p>
    <w:tbl>
      <w:tblPr>
        <w:tblStyle w:val="18"/>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115"/>
        <w:gridCol w:w="6528"/>
        <w:gridCol w:w="702"/>
      </w:tblGrid>
      <w:tr w14:paraId="3BB4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2216" w:type="dxa"/>
            <w:gridSpan w:val="2"/>
            <w:noWrap w:val="0"/>
            <w:vAlign w:val="center"/>
          </w:tcPr>
          <w:p w14:paraId="3BE84286">
            <w:pPr>
              <w:widowControl/>
              <w:shd w:val="clear" w:color="auto" w:fill="FFFFFF"/>
              <w:ind w:firstLine="422"/>
              <w:jc w:val="center"/>
              <w:rPr>
                <w:rFonts w:hint="eastAsia" w:ascii="宋体" w:hAnsi="宋体" w:eastAsia="宋体" w:cs="宋体"/>
                <w:b/>
                <w:kern w:val="0"/>
                <w:sz w:val="21"/>
                <w:szCs w:val="21"/>
              </w:rPr>
            </w:pPr>
            <w:r>
              <w:rPr>
                <w:rFonts w:hint="eastAsia" w:ascii="宋体" w:hAnsi="宋体" w:eastAsia="宋体" w:cs="宋体"/>
                <w:b/>
                <w:kern w:val="0"/>
                <w:sz w:val="21"/>
                <w:szCs w:val="21"/>
              </w:rPr>
              <w:t>评分因素</w:t>
            </w:r>
          </w:p>
        </w:tc>
        <w:tc>
          <w:tcPr>
            <w:tcW w:w="6528" w:type="dxa"/>
            <w:noWrap w:val="0"/>
            <w:vAlign w:val="center"/>
          </w:tcPr>
          <w:p w14:paraId="282835FB">
            <w:pPr>
              <w:widowControl/>
              <w:shd w:val="clear" w:color="auto" w:fill="FFFFFF"/>
              <w:ind w:firstLine="422"/>
              <w:jc w:val="center"/>
              <w:rPr>
                <w:rFonts w:hint="eastAsia" w:ascii="宋体" w:hAnsi="宋体" w:eastAsia="宋体" w:cs="宋体"/>
                <w:b/>
                <w:kern w:val="0"/>
                <w:sz w:val="21"/>
                <w:szCs w:val="21"/>
              </w:rPr>
            </w:pPr>
            <w:r>
              <w:rPr>
                <w:rFonts w:hint="eastAsia" w:ascii="宋体" w:hAnsi="宋体" w:eastAsia="宋体" w:cs="宋体"/>
                <w:b/>
                <w:kern w:val="0"/>
                <w:sz w:val="21"/>
                <w:szCs w:val="21"/>
              </w:rPr>
              <w:t>评分内容</w:t>
            </w:r>
          </w:p>
        </w:tc>
        <w:tc>
          <w:tcPr>
            <w:tcW w:w="702" w:type="dxa"/>
            <w:noWrap w:val="0"/>
            <w:vAlign w:val="center"/>
          </w:tcPr>
          <w:p w14:paraId="7B7C0E0C">
            <w:pPr>
              <w:widowControl/>
              <w:shd w:val="clear" w:color="auto" w:fill="FFFFFF"/>
              <w:rPr>
                <w:rFonts w:hint="eastAsia" w:ascii="宋体" w:hAnsi="宋体" w:eastAsia="宋体" w:cs="宋体"/>
                <w:b/>
                <w:kern w:val="0"/>
                <w:sz w:val="21"/>
                <w:szCs w:val="21"/>
              </w:rPr>
            </w:pPr>
            <w:r>
              <w:rPr>
                <w:rFonts w:hint="eastAsia" w:ascii="宋体" w:hAnsi="宋体" w:eastAsia="宋体" w:cs="宋体"/>
                <w:b/>
                <w:kern w:val="0"/>
                <w:sz w:val="21"/>
                <w:szCs w:val="21"/>
              </w:rPr>
              <w:t>分值</w:t>
            </w:r>
          </w:p>
        </w:tc>
      </w:tr>
      <w:tr w14:paraId="18ABE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16" w:type="dxa"/>
            <w:gridSpan w:val="2"/>
            <w:noWrap w:val="0"/>
            <w:vAlign w:val="center"/>
          </w:tcPr>
          <w:p w14:paraId="37CD9BCD">
            <w:pPr>
              <w:widowControl/>
              <w:shd w:val="clear" w:color="auto" w:fill="FFFFFF"/>
              <w:jc w:val="center"/>
              <w:rPr>
                <w:rFonts w:hint="eastAsia" w:ascii="宋体" w:hAnsi="宋体" w:eastAsia="宋体" w:cs="宋体"/>
                <w:kern w:val="0"/>
                <w:sz w:val="21"/>
                <w:szCs w:val="21"/>
              </w:rPr>
            </w:pPr>
            <w:r>
              <w:rPr>
                <w:rFonts w:hint="eastAsia" w:ascii="宋体" w:hAnsi="宋体" w:eastAsia="宋体" w:cs="宋体"/>
                <w:kern w:val="0"/>
                <w:sz w:val="21"/>
                <w:szCs w:val="21"/>
              </w:rPr>
              <w:t>投标报价（</w:t>
            </w:r>
            <w:r>
              <w:rPr>
                <w:rFonts w:hint="eastAsia" w:ascii="宋体" w:hAnsi="宋体" w:eastAsia="宋体" w:cs="宋体"/>
                <w:kern w:val="0"/>
                <w:sz w:val="21"/>
                <w:szCs w:val="21"/>
                <w:lang w:val="en-US" w:eastAsia="zh-CN"/>
              </w:rPr>
              <w:t>10</w:t>
            </w:r>
            <w:r>
              <w:rPr>
                <w:rFonts w:hint="eastAsia" w:ascii="宋体" w:hAnsi="宋体" w:eastAsia="宋体" w:cs="宋体"/>
                <w:kern w:val="0"/>
                <w:sz w:val="21"/>
                <w:szCs w:val="21"/>
              </w:rPr>
              <w:t>分）</w:t>
            </w:r>
          </w:p>
        </w:tc>
        <w:tc>
          <w:tcPr>
            <w:tcW w:w="6528" w:type="dxa"/>
            <w:noWrap w:val="0"/>
            <w:vAlign w:val="center"/>
          </w:tcPr>
          <w:p w14:paraId="1C02AF7E">
            <w:pPr>
              <w:spacing w:line="360" w:lineRule="auto"/>
              <w:ind w:firstLine="420"/>
              <w:rPr>
                <w:rFonts w:hint="eastAsia" w:ascii="宋体" w:hAnsi="宋体" w:eastAsia="宋体" w:cs="宋体"/>
                <w:kern w:val="0"/>
                <w:sz w:val="21"/>
                <w:szCs w:val="21"/>
              </w:rPr>
            </w:pPr>
            <w:r>
              <w:rPr>
                <w:rFonts w:hint="eastAsia" w:ascii="宋体" w:hAnsi="宋体" w:eastAsia="宋体" w:cs="宋体"/>
                <w:kern w:val="0"/>
                <w:sz w:val="21"/>
                <w:szCs w:val="21"/>
              </w:rPr>
              <w:t>采用低价优先法，即满足招标文件要求且投标报价最低为评标基准价，其价格分为满分1</w:t>
            </w:r>
            <w:r>
              <w:rPr>
                <w:rFonts w:hint="eastAsia" w:ascii="宋体" w:hAnsi="宋体" w:eastAsia="宋体" w:cs="宋体"/>
                <w:kern w:val="0"/>
                <w:sz w:val="21"/>
                <w:szCs w:val="21"/>
                <w:lang w:val="en-US" w:eastAsia="zh-CN"/>
              </w:rPr>
              <w:t>0</w:t>
            </w:r>
            <w:r>
              <w:rPr>
                <w:rFonts w:hint="eastAsia" w:ascii="宋体" w:hAnsi="宋体" w:eastAsia="宋体" w:cs="宋体"/>
                <w:kern w:val="0"/>
                <w:sz w:val="21"/>
                <w:szCs w:val="21"/>
              </w:rPr>
              <w:t>分。</w:t>
            </w:r>
          </w:p>
          <w:p w14:paraId="0409135A">
            <w:pPr>
              <w:spacing w:line="360" w:lineRule="auto"/>
              <w:ind w:firstLine="420"/>
              <w:rPr>
                <w:rFonts w:hint="eastAsia" w:ascii="宋体" w:hAnsi="宋体" w:eastAsia="宋体" w:cs="宋体"/>
                <w:kern w:val="0"/>
                <w:sz w:val="21"/>
                <w:szCs w:val="21"/>
              </w:rPr>
            </w:pPr>
            <w:r>
              <w:rPr>
                <w:rFonts w:hint="eastAsia" w:ascii="宋体" w:hAnsi="宋体" w:eastAsia="宋体" w:cs="宋体"/>
                <w:kern w:val="0"/>
                <w:sz w:val="21"/>
                <w:szCs w:val="21"/>
              </w:rPr>
              <w:t>其他投标人的价格分统一按照下列公式计算：投标报价得分＝（评标基准价/投标报价）×1</w:t>
            </w:r>
            <w:r>
              <w:rPr>
                <w:rFonts w:hint="eastAsia" w:ascii="宋体" w:hAnsi="宋体" w:eastAsia="宋体" w:cs="宋体"/>
                <w:kern w:val="0"/>
                <w:sz w:val="21"/>
                <w:szCs w:val="21"/>
                <w:lang w:val="en-US" w:eastAsia="zh-CN"/>
              </w:rPr>
              <w:t>0</w:t>
            </w:r>
            <w:r>
              <w:rPr>
                <w:rFonts w:hint="eastAsia" w:ascii="宋体" w:hAnsi="宋体" w:eastAsia="宋体" w:cs="宋体"/>
                <w:kern w:val="0"/>
                <w:sz w:val="21"/>
                <w:szCs w:val="21"/>
              </w:rPr>
              <w:t>（小数点后保留2位小数，四舍五入）。</w:t>
            </w:r>
          </w:p>
          <w:p w14:paraId="385486FC">
            <w:pPr>
              <w:spacing w:line="360" w:lineRule="auto"/>
              <w:ind w:firstLine="420"/>
              <w:rPr>
                <w:rFonts w:hint="eastAsia" w:ascii="宋体" w:hAnsi="宋体" w:eastAsia="宋体" w:cs="宋体"/>
                <w:b/>
                <w:bCs/>
                <w:kern w:val="0"/>
                <w:sz w:val="21"/>
                <w:szCs w:val="21"/>
              </w:rPr>
            </w:pPr>
            <w:r>
              <w:rPr>
                <w:rFonts w:hint="eastAsia" w:ascii="宋体" w:hAnsi="宋体" w:eastAsia="宋体" w:cs="宋体"/>
                <w:b/>
                <w:bCs/>
                <w:kern w:val="0"/>
                <w:sz w:val="21"/>
                <w:szCs w:val="21"/>
              </w:rPr>
              <w:t>评审过程中出现下列情形之一的，评标委员会将启动异常低价投标（响应）审查程序：</w:t>
            </w:r>
          </w:p>
          <w:p w14:paraId="48AF25DB">
            <w:pPr>
              <w:spacing w:line="360" w:lineRule="auto"/>
              <w:ind w:firstLine="420"/>
              <w:rPr>
                <w:rFonts w:hint="eastAsia" w:ascii="宋体" w:hAnsi="宋体" w:eastAsia="宋体" w:cs="宋体"/>
                <w:i w:val="0"/>
                <w:iCs w:val="0"/>
                <w:color w:val="auto"/>
                <w:kern w:val="0"/>
                <w:sz w:val="21"/>
                <w:szCs w:val="21"/>
                <w:highlight w:val="none"/>
                <w:lang w:eastAsia="zh-CN"/>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lang w:val="en-US" w:eastAsia="zh-CN"/>
              </w:rPr>
              <w:t>1</w:t>
            </w: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投标（响应）报价低于采购项目预算</w:t>
            </w:r>
            <w:r>
              <w:rPr>
                <w:rFonts w:hint="eastAsia" w:ascii="宋体" w:hAnsi="宋体" w:cs="宋体"/>
                <w:i w:val="0"/>
                <w:iCs w:val="0"/>
                <w:color w:val="auto"/>
                <w:kern w:val="0"/>
                <w:sz w:val="21"/>
                <w:szCs w:val="21"/>
                <w:highlight w:val="none"/>
                <w:lang w:eastAsia="zh-CN"/>
              </w:rPr>
              <w:t>（</w:t>
            </w:r>
            <w:r>
              <w:rPr>
                <w:rFonts w:hint="eastAsia" w:ascii="宋体" w:hAnsi="宋体" w:cs="宋体"/>
                <w:i w:val="0"/>
                <w:iCs w:val="0"/>
                <w:color w:val="auto"/>
                <w:kern w:val="0"/>
                <w:sz w:val="21"/>
                <w:szCs w:val="21"/>
                <w:highlight w:val="none"/>
                <w:lang w:val="en-US" w:eastAsia="zh-CN"/>
              </w:rPr>
              <w:t>最高限价</w:t>
            </w:r>
            <w:r>
              <w:rPr>
                <w:rFonts w:hint="eastAsia" w:ascii="宋体" w:hAnsi="宋体" w:cs="宋体"/>
                <w:i w:val="0"/>
                <w:iCs w:val="0"/>
                <w:color w:val="auto"/>
                <w:kern w:val="0"/>
                <w:sz w:val="21"/>
                <w:szCs w:val="21"/>
                <w:highlight w:val="none"/>
                <w:lang w:eastAsia="zh-CN"/>
              </w:rPr>
              <w:t>）</w:t>
            </w:r>
            <w:r>
              <w:rPr>
                <w:rFonts w:hint="eastAsia" w:ascii="宋体" w:hAnsi="宋体" w:cs="宋体"/>
                <w:i w:val="0"/>
                <w:iCs w:val="0"/>
                <w:color w:val="auto"/>
                <w:kern w:val="0"/>
                <w:sz w:val="21"/>
                <w:szCs w:val="21"/>
                <w:highlight w:val="none"/>
                <w:lang w:val="en-US" w:eastAsia="zh-CN"/>
              </w:rPr>
              <w:t>65</w:t>
            </w:r>
            <w:r>
              <w:rPr>
                <w:rFonts w:hint="eastAsia" w:ascii="宋体" w:hAnsi="宋体" w:eastAsia="宋体" w:cs="宋体"/>
                <w:i w:val="0"/>
                <w:iCs w:val="0"/>
                <w:color w:val="auto"/>
                <w:kern w:val="0"/>
                <w:sz w:val="21"/>
                <w:szCs w:val="21"/>
                <w:highlight w:val="none"/>
              </w:rPr>
              <w:t>%的，即投标（响应）报价</w:t>
            </w:r>
            <w:r>
              <w:rPr>
                <w:rFonts w:hint="eastAsia" w:ascii="宋体" w:hAnsi="宋体" w:cs="宋体"/>
                <w:i w:val="0"/>
                <w:iCs w:val="0"/>
                <w:color w:val="auto"/>
                <w:kern w:val="0"/>
                <w:sz w:val="21"/>
                <w:szCs w:val="21"/>
                <w:highlight w:val="none"/>
                <w:lang w:val="en-US" w:eastAsia="zh-CN"/>
              </w:rPr>
              <w:t>低于</w:t>
            </w:r>
            <w:r>
              <w:rPr>
                <w:rFonts w:hint="eastAsia" w:ascii="宋体" w:hAnsi="宋体" w:eastAsia="宋体" w:cs="宋体"/>
                <w:i w:val="0"/>
                <w:iCs w:val="0"/>
                <w:color w:val="auto"/>
                <w:kern w:val="0"/>
                <w:sz w:val="21"/>
                <w:szCs w:val="21"/>
                <w:highlight w:val="none"/>
              </w:rPr>
              <w:t>采购项目预算</w:t>
            </w:r>
            <w:r>
              <w:rPr>
                <w:rFonts w:hint="eastAsia" w:ascii="宋体" w:hAnsi="宋体" w:cs="宋体"/>
                <w:i w:val="0"/>
                <w:iCs w:val="0"/>
                <w:color w:val="auto"/>
                <w:kern w:val="0"/>
                <w:sz w:val="21"/>
                <w:szCs w:val="21"/>
                <w:highlight w:val="none"/>
                <w:lang w:eastAsia="zh-CN"/>
              </w:rPr>
              <w:t>（</w:t>
            </w:r>
            <w:r>
              <w:rPr>
                <w:rFonts w:hint="eastAsia" w:ascii="宋体" w:hAnsi="宋体" w:cs="宋体"/>
                <w:i w:val="0"/>
                <w:iCs w:val="0"/>
                <w:color w:val="auto"/>
                <w:kern w:val="0"/>
                <w:sz w:val="21"/>
                <w:szCs w:val="21"/>
                <w:highlight w:val="none"/>
                <w:lang w:val="en-US" w:eastAsia="zh-CN"/>
              </w:rPr>
              <w:t>最高限价</w:t>
            </w:r>
            <w:r>
              <w:rPr>
                <w:rFonts w:hint="eastAsia" w:ascii="宋体" w:hAnsi="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w:t>
            </w:r>
            <w:r>
              <w:rPr>
                <w:rFonts w:hint="eastAsia" w:ascii="宋体" w:hAnsi="宋体" w:cs="宋体"/>
                <w:i w:val="0"/>
                <w:iCs w:val="0"/>
                <w:color w:val="auto"/>
                <w:kern w:val="0"/>
                <w:sz w:val="21"/>
                <w:szCs w:val="21"/>
                <w:highlight w:val="none"/>
                <w:lang w:val="en-US" w:eastAsia="zh-CN"/>
              </w:rPr>
              <w:t>65</w:t>
            </w:r>
            <w:r>
              <w:rPr>
                <w:rFonts w:hint="eastAsia" w:ascii="宋体" w:hAnsi="宋体" w:eastAsia="宋体" w:cs="宋体"/>
                <w:i w:val="0"/>
                <w:iCs w:val="0"/>
                <w:color w:val="auto"/>
                <w:kern w:val="0"/>
                <w:sz w:val="21"/>
                <w:szCs w:val="21"/>
                <w:highlight w:val="none"/>
              </w:rPr>
              <w:t>%</w:t>
            </w:r>
            <w:r>
              <w:rPr>
                <w:rFonts w:hint="eastAsia" w:ascii="宋体" w:hAnsi="宋体" w:eastAsia="宋体" w:cs="宋体"/>
                <w:i w:val="0"/>
                <w:iCs w:val="0"/>
                <w:color w:val="auto"/>
                <w:kern w:val="0"/>
                <w:sz w:val="21"/>
                <w:szCs w:val="21"/>
                <w:highlight w:val="none"/>
                <w:lang w:eastAsia="zh-CN"/>
              </w:rPr>
              <w:t>。</w:t>
            </w:r>
          </w:p>
          <w:p w14:paraId="7A8D0932">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lang w:val="en-US" w:eastAsia="zh-CN"/>
              </w:rPr>
              <w:t>2</w:t>
            </w: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评标委员会认定的供应商报价过低、有可能影响产品质量或者不能诚信履约的其他情形。</w:t>
            </w:r>
          </w:p>
          <w:p w14:paraId="7AB85560">
            <w:pPr>
              <w:spacing w:line="360" w:lineRule="auto"/>
              <w:ind w:firstLine="420"/>
              <w:rPr>
                <w:rFonts w:hint="eastAsia" w:ascii="宋体" w:hAnsi="宋体" w:eastAsia="宋体" w:cs="宋体"/>
                <w:kern w:val="0"/>
                <w:sz w:val="21"/>
                <w:szCs w:val="21"/>
              </w:rPr>
            </w:pP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评标委员会认定的供应商报价过低、有可能影响产品质量或者不能诚信履约的其他情形。</w:t>
            </w:r>
          </w:p>
        </w:tc>
        <w:tc>
          <w:tcPr>
            <w:tcW w:w="702" w:type="dxa"/>
            <w:noWrap w:val="0"/>
            <w:vAlign w:val="center"/>
          </w:tcPr>
          <w:p w14:paraId="295BCB74">
            <w:pPr>
              <w:shd w:val="clear" w:color="auto" w:fill="FFFFFF"/>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0</w:t>
            </w:r>
          </w:p>
        </w:tc>
      </w:tr>
      <w:tr w14:paraId="27272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01" w:type="dxa"/>
            <w:vMerge w:val="restart"/>
            <w:noWrap w:val="0"/>
            <w:vAlign w:val="center"/>
          </w:tcPr>
          <w:p w14:paraId="4482ADE8">
            <w:pPr>
              <w:widowControl/>
              <w:shd w:val="clear" w:color="auto" w:fill="FFFFFF"/>
              <w:rPr>
                <w:rFonts w:hint="eastAsia" w:ascii="宋体" w:hAnsi="宋体" w:eastAsia="宋体" w:cs="宋体"/>
                <w:kern w:val="0"/>
                <w:sz w:val="21"/>
                <w:szCs w:val="21"/>
              </w:rPr>
            </w:pPr>
            <w:r>
              <w:rPr>
                <w:rFonts w:hint="eastAsia" w:ascii="宋体" w:hAnsi="宋体" w:eastAsia="宋体" w:cs="宋体"/>
                <w:kern w:val="0"/>
                <w:sz w:val="21"/>
                <w:szCs w:val="21"/>
              </w:rPr>
              <w:t>技术部分（</w:t>
            </w:r>
            <w:r>
              <w:rPr>
                <w:rFonts w:hint="eastAsia" w:ascii="宋体" w:hAnsi="宋体" w:eastAsia="宋体" w:cs="宋体"/>
                <w:kern w:val="0"/>
                <w:sz w:val="21"/>
                <w:szCs w:val="21"/>
                <w:lang w:val="en-US" w:eastAsia="zh-CN"/>
              </w:rPr>
              <w:t>65</w:t>
            </w:r>
            <w:r>
              <w:rPr>
                <w:rFonts w:hint="eastAsia" w:ascii="宋体" w:hAnsi="宋体" w:eastAsia="宋体" w:cs="宋体"/>
                <w:kern w:val="0"/>
                <w:sz w:val="21"/>
                <w:szCs w:val="21"/>
              </w:rPr>
              <w:t>分）</w:t>
            </w:r>
          </w:p>
        </w:tc>
        <w:tc>
          <w:tcPr>
            <w:tcW w:w="1115" w:type="dxa"/>
            <w:noWrap w:val="0"/>
            <w:vAlign w:val="center"/>
          </w:tcPr>
          <w:p w14:paraId="5DAB881A">
            <w:pPr>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rPr>
              <w:t>技术方案</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15分</w:t>
            </w:r>
            <w:r>
              <w:rPr>
                <w:rFonts w:hint="eastAsia" w:ascii="宋体" w:hAnsi="宋体" w:eastAsia="宋体" w:cs="宋体"/>
                <w:kern w:val="0"/>
                <w:sz w:val="21"/>
                <w:szCs w:val="21"/>
                <w:lang w:eastAsia="zh-CN"/>
              </w:rPr>
              <w:t>）</w:t>
            </w:r>
          </w:p>
        </w:tc>
        <w:tc>
          <w:tcPr>
            <w:tcW w:w="6528" w:type="dxa"/>
            <w:noWrap w:val="0"/>
            <w:vAlign w:val="center"/>
          </w:tcPr>
          <w:p w14:paraId="02C3CB20">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投标人结合本项目</w:t>
            </w:r>
            <w:r>
              <w:rPr>
                <w:rFonts w:hint="eastAsia" w:ascii="宋体" w:hAnsi="宋体" w:eastAsia="宋体" w:cs="宋体"/>
                <w:i w:val="0"/>
                <w:iCs w:val="0"/>
                <w:color w:val="auto"/>
                <w:kern w:val="0"/>
                <w:sz w:val="21"/>
                <w:szCs w:val="21"/>
                <w:highlight w:val="none"/>
                <w:lang w:eastAsia="zh-CN"/>
              </w:rPr>
              <w:t>招标服务需求</w:t>
            </w:r>
            <w:r>
              <w:rPr>
                <w:rFonts w:hint="eastAsia" w:ascii="宋体" w:hAnsi="宋体" w:eastAsia="宋体" w:cs="宋体"/>
                <w:i w:val="0"/>
                <w:iCs w:val="0"/>
                <w:color w:val="auto"/>
                <w:kern w:val="0"/>
                <w:sz w:val="21"/>
                <w:szCs w:val="21"/>
                <w:highlight w:val="none"/>
              </w:rPr>
              <w:t>，制定本项目的总体技术方案，对本项目任务及目标进行解读。由评委进行综合评分，本项最高得</w:t>
            </w:r>
            <w:r>
              <w:rPr>
                <w:rFonts w:hint="eastAsia" w:ascii="宋体" w:hAnsi="宋体" w:cs="宋体"/>
                <w:i w:val="0"/>
                <w:iCs w:val="0"/>
                <w:color w:val="auto"/>
                <w:kern w:val="0"/>
                <w:sz w:val="21"/>
                <w:szCs w:val="21"/>
                <w:highlight w:val="none"/>
                <w:lang w:val="en-US" w:eastAsia="zh-CN"/>
              </w:rPr>
              <w:t>15</w:t>
            </w:r>
            <w:r>
              <w:rPr>
                <w:rFonts w:hint="eastAsia" w:ascii="宋体" w:hAnsi="宋体" w:eastAsia="宋体" w:cs="宋体"/>
                <w:i w:val="0"/>
                <w:iCs w:val="0"/>
                <w:color w:val="auto"/>
                <w:kern w:val="0"/>
                <w:sz w:val="21"/>
                <w:szCs w:val="21"/>
                <w:highlight w:val="none"/>
              </w:rPr>
              <w:t>分：</w:t>
            </w:r>
          </w:p>
          <w:p w14:paraId="7B06671A">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（1）对项目理解透彻，总体技术方案内容科学、应对措施完善，对</w:t>
            </w:r>
            <w:r>
              <w:rPr>
                <w:rFonts w:hint="eastAsia" w:ascii="宋体" w:hAnsi="宋体" w:eastAsia="宋体" w:cs="宋体"/>
                <w:i w:val="0"/>
                <w:iCs w:val="0"/>
                <w:color w:val="auto"/>
                <w:kern w:val="0"/>
                <w:sz w:val="21"/>
                <w:szCs w:val="21"/>
                <w:highlight w:val="none"/>
                <w:lang w:eastAsia="zh-CN"/>
              </w:rPr>
              <w:t>招标服务需求</w:t>
            </w:r>
            <w:r>
              <w:rPr>
                <w:rFonts w:hint="eastAsia" w:ascii="宋体" w:hAnsi="宋体" w:eastAsia="宋体" w:cs="宋体"/>
                <w:i w:val="0"/>
                <w:iCs w:val="0"/>
                <w:color w:val="auto"/>
                <w:kern w:val="0"/>
                <w:sz w:val="21"/>
                <w:szCs w:val="21"/>
                <w:highlight w:val="none"/>
              </w:rPr>
              <w:t>把握到位且利于项目实施的得</w:t>
            </w:r>
            <w:r>
              <w:rPr>
                <w:rFonts w:hint="eastAsia" w:ascii="宋体" w:hAnsi="宋体" w:eastAsia="宋体" w:cs="宋体"/>
                <w:i w:val="0"/>
                <w:iCs w:val="0"/>
                <w:color w:val="auto"/>
                <w:kern w:val="0"/>
                <w:sz w:val="21"/>
                <w:szCs w:val="21"/>
                <w:highlight w:val="none"/>
                <w:lang w:val="en-US" w:eastAsia="zh-CN"/>
              </w:rPr>
              <w:t>1</w:t>
            </w:r>
            <w:r>
              <w:rPr>
                <w:rFonts w:hint="eastAsia" w:ascii="宋体" w:hAnsi="宋体" w:cs="宋体"/>
                <w:i w:val="0"/>
                <w:iCs w:val="0"/>
                <w:color w:val="auto"/>
                <w:kern w:val="0"/>
                <w:sz w:val="21"/>
                <w:szCs w:val="21"/>
                <w:highlight w:val="none"/>
                <w:lang w:val="en-US" w:eastAsia="zh-CN"/>
              </w:rPr>
              <w:t>5</w:t>
            </w:r>
            <w:r>
              <w:rPr>
                <w:rFonts w:hint="eastAsia" w:ascii="宋体" w:hAnsi="宋体" w:eastAsia="宋体" w:cs="宋体"/>
                <w:i w:val="0"/>
                <w:iCs w:val="0"/>
                <w:color w:val="auto"/>
                <w:kern w:val="0"/>
                <w:sz w:val="21"/>
                <w:szCs w:val="21"/>
                <w:highlight w:val="none"/>
                <w:lang w:val="en-US" w:eastAsia="zh-CN"/>
              </w:rPr>
              <w:t>.00</w:t>
            </w:r>
            <w:r>
              <w:rPr>
                <w:rFonts w:hint="eastAsia" w:ascii="宋体" w:hAnsi="宋体" w:eastAsia="宋体" w:cs="宋体"/>
                <w:i w:val="0"/>
                <w:iCs w:val="0"/>
                <w:color w:val="auto"/>
                <w:kern w:val="0"/>
                <w:sz w:val="21"/>
                <w:szCs w:val="21"/>
                <w:highlight w:val="none"/>
              </w:rPr>
              <w:t>分；</w:t>
            </w:r>
          </w:p>
          <w:p w14:paraId="082E46E4">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（2）对项目理解清楚，总体技术方案内容合理、应对措施较完善，能满足本项目</w:t>
            </w:r>
            <w:r>
              <w:rPr>
                <w:rFonts w:hint="eastAsia" w:ascii="宋体" w:hAnsi="宋体" w:eastAsia="宋体" w:cs="宋体"/>
                <w:i w:val="0"/>
                <w:iCs w:val="0"/>
                <w:color w:val="auto"/>
                <w:kern w:val="0"/>
                <w:sz w:val="21"/>
                <w:szCs w:val="21"/>
                <w:highlight w:val="none"/>
                <w:lang w:eastAsia="zh-CN"/>
              </w:rPr>
              <w:t>招标服务需求</w:t>
            </w:r>
            <w:r>
              <w:rPr>
                <w:rFonts w:hint="eastAsia" w:ascii="宋体" w:hAnsi="宋体" w:eastAsia="宋体" w:cs="宋体"/>
                <w:i w:val="0"/>
                <w:iCs w:val="0"/>
                <w:color w:val="auto"/>
                <w:kern w:val="0"/>
                <w:sz w:val="21"/>
                <w:szCs w:val="21"/>
                <w:highlight w:val="none"/>
              </w:rPr>
              <w:t>的得</w:t>
            </w:r>
            <w:r>
              <w:rPr>
                <w:rFonts w:hint="eastAsia" w:ascii="宋体" w:hAnsi="宋体" w:eastAsia="宋体" w:cs="宋体"/>
                <w:i w:val="0"/>
                <w:iCs w:val="0"/>
                <w:color w:val="auto"/>
                <w:kern w:val="0"/>
                <w:sz w:val="21"/>
                <w:szCs w:val="21"/>
                <w:highlight w:val="none"/>
                <w:lang w:val="en-US" w:eastAsia="zh-CN"/>
              </w:rPr>
              <w:t>1</w:t>
            </w:r>
            <w:r>
              <w:rPr>
                <w:rFonts w:hint="eastAsia" w:ascii="宋体" w:hAnsi="宋体" w:cs="宋体"/>
                <w:i w:val="0"/>
                <w:iCs w:val="0"/>
                <w:color w:val="auto"/>
                <w:kern w:val="0"/>
                <w:sz w:val="21"/>
                <w:szCs w:val="21"/>
                <w:highlight w:val="none"/>
                <w:lang w:val="en-US" w:eastAsia="zh-CN"/>
              </w:rPr>
              <w:t>2</w:t>
            </w:r>
            <w:r>
              <w:rPr>
                <w:rFonts w:hint="eastAsia" w:ascii="宋体" w:hAnsi="宋体" w:eastAsia="宋体" w:cs="宋体"/>
                <w:i w:val="0"/>
                <w:iCs w:val="0"/>
                <w:color w:val="auto"/>
                <w:kern w:val="0"/>
                <w:sz w:val="21"/>
                <w:szCs w:val="21"/>
                <w:highlight w:val="none"/>
                <w:lang w:val="en-US" w:eastAsia="zh-CN"/>
              </w:rPr>
              <w:t>.00</w:t>
            </w:r>
            <w:r>
              <w:rPr>
                <w:rFonts w:hint="eastAsia" w:ascii="宋体" w:hAnsi="宋体" w:eastAsia="宋体" w:cs="宋体"/>
                <w:i w:val="0"/>
                <w:iCs w:val="0"/>
                <w:color w:val="auto"/>
                <w:kern w:val="0"/>
                <w:sz w:val="21"/>
                <w:szCs w:val="21"/>
                <w:highlight w:val="none"/>
              </w:rPr>
              <w:t>分；</w:t>
            </w:r>
          </w:p>
          <w:p w14:paraId="29AB7689">
            <w:pPr>
              <w:spacing w:line="360" w:lineRule="auto"/>
              <w:ind w:firstLine="420"/>
              <w:rPr>
                <w:rFonts w:hint="eastAsia" w:ascii="宋体" w:hAnsi="宋体" w:eastAsia="宋体" w:cs="宋体"/>
                <w:i w:val="0"/>
                <w:iCs w:val="0"/>
                <w:color w:val="auto"/>
                <w:kern w:val="0"/>
                <w:sz w:val="21"/>
                <w:szCs w:val="21"/>
                <w:highlight w:val="none"/>
                <w:lang w:eastAsia="zh-CN"/>
              </w:rPr>
            </w:pPr>
            <w:r>
              <w:rPr>
                <w:rFonts w:hint="eastAsia" w:ascii="宋体" w:hAnsi="宋体" w:eastAsia="宋体" w:cs="宋体"/>
                <w:i w:val="0"/>
                <w:iCs w:val="0"/>
                <w:color w:val="auto"/>
                <w:kern w:val="0"/>
                <w:sz w:val="21"/>
                <w:szCs w:val="21"/>
                <w:highlight w:val="none"/>
              </w:rPr>
              <w:t xml:space="preserve">（3）对项目理解基本清楚，总体技术方案内容基本合理、应对措施基本具备，能基本保障项目实施的得 </w:t>
            </w:r>
            <w:r>
              <w:rPr>
                <w:rFonts w:hint="eastAsia" w:ascii="宋体" w:hAnsi="宋体" w:eastAsia="宋体" w:cs="宋体"/>
                <w:i w:val="0"/>
                <w:iCs w:val="0"/>
                <w:color w:val="auto"/>
                <w:kern w:val="0"/>
                <w:sz w:val="21"/>
                <w:szCs w:val="21"/>
                <w:highlight w:val="none"/>
                <w:lang w:val="en-US" w:eastAsia="zh-CN"/>
              </w:rPr>
              <w:t>9</w:t>
            </w:r>
            <w:r>
              <w:rPr>
                <w:rFonts w:hint="eastAsia" w:ascii="宋体" w:hAnsi="宋体" w:eastAsia="宋体" w:cs="宋体"/>
                <w:i w:val="0"/>
                <w:iCs w:val="0"/>
                <w:color w:val="auto"/>
                <w:kern w:val="0"/>
                <w:sz w:val="21"/>
                <w:szCs w:val="21"/>
                <w:highlight w:val="none"/>
              </w:rPr>
              <w:t>.00 分</w:t>
            </w:r>
            <w:r>
              <w:rPr>
                <w:rFonts w:hint="eastAsia" w:ascii="宋体" w:hAnsi="宋体" w:eastAsia="宋体" w:cs="宋体"/>
                <w:i w:val="0"/>
                <w:iCs w:val="0"/>
                <w:color w:val="auto"/>
                <w:kern w:val="0"/>
                <w:sz w:val="21"/>
                <w:szCs w:val="21"/>
                <w:highlight w:val="none"/>
                <w:lang w:eastAsia="zh-CN"/>
              </w:rPr>
              <w:t>；</w:t>
            </w:r>
          </w:p>
          <w:p w14:paraId="4A36CE86">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lang w:val="en-US" w:eastAsia="zh-CN"/>
              </w:rPr>
              <w:t>4</w:t>
            </w: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对项目服务理解有偏差，总体技术方案内容基本合理、应对措施基本具备，可能影响到项目实施的得</w:t>
            </w:r>
            <w:r>
              <w:rPr>
                <w:rFonts w:hint="eastAsia" w:ascii="宋体" w:hAnsi="宋体" w:cs="宋体"/>
                <w:i w:val="0"/>
                <w:iCs w:val="0"/>
                <w:color w:val="auto"/>
                <w:kern w:val="0"/>
                <w:sz w:val="21"/>
                <w:szCs w:val="21"/>
                <w:highlight w:val="none"/>
                <w:lang w:val="en-US" w:eastAsia="zh-CN"/>
              </w:rPr>
              <w:t>6</w:t>
            </w:r>
            <w:r>
              <w:rPr>
                <w:rFonts w:hint="eastAsia" w:ascii="宋体" w:hAnsi="宋体" w:eastAsia="宋体" w:cs="宋体"/>
                <w:i w:val="0"/>
                <w:iCs w:val="0"/>
                <w:color w:val="auto"/>
                <w:kern w:val="0"/>
                <w:sz w:val="21"/>
                <w:szCs w:val="21"/>
                <w:highlight w:val="none"/>
                <w:lang w:val="en-US" w:eastAsia="zh-CN"/>
              </w:rPr>
              <w:t>.00</w:t>
            </w:r>
            <w:r>
              <w:rPr>
                <w:rFonts w:hint="eastAsia" w:ascii="宋体" w:hAnsi="宋体" w:eastAsia="宋体" w:cs="宋体"/>
                <w:i w:val="0"/>
                <w:iCs w:val="0"/>
                <w:color w:val="auto"/>
                <w:kern w:val="0"/>
                <w:sz w:val="21"/>
                <w:szCs w:val="21"/>
                <w:highlight w:val="none"/>
              </w:rPr>
              <w:t>分；</w:t>
            </w:r>
          </w:p>
          <w:p w14:paraId="72F3452E">
            <w:pPr>
              <w:spacing w:line="360" w:lineRule="auto"/>
              <w:ind w:firstLine="420"/>
              <w:rPr>
                <w:rFonts w:hint="eastAsia" w:ascii="宋体" w:hAnsi="宋体" w:eastAsia="宋体" w:cs="宋体"/>
                <w:kern w:val="0"/>
                <w:sz w:val="21"/>
                <w:szCs w:val="21"/>
              </w:rPr>
            </w:pPr>
            <w:r>
              <w:rPr>
                <w:rFonts w:hint="eastAsia" w:ascii="宋体" w:hAnsi="宋体" w:eastAsia="宋体" w:cs="宋体"/>
                <w:i w:val="0"/>
                <w:iCs w:val="0"/>
                <w:color w:val="auto"/>
                <w:kern w:val="0"/>
                <w:sz w:val="21"/>
                <w:szCs w:val="21"/>
                <w:highlight w:val="none"/>
              </w:rPr>
              <w:t>（</w:t>
            </w:r>
            <w:r>
              <w:rPr>
                <w:rFonts w:hint="eastAsia" w:ascii="宋体" w:hAnsi="宋体" w:eastAsia="宋体" w:cs="宋体"/>
                <w:i w:val="0"/>
                <w:iCs w:val="0"/>
                <w:color w:val="auto"/>
                <w:kern w:val="0"/>
                <w:sz w:val="21"/>
                <w:szCs w:val="21"/>
                <w:highlight w:val="none"/>
                <w:lang w:val="en-US" w:eastAsia="zh-CN"/>
              </w:rPr>
              <w:t>5</w:t>
            </w:r>
            <w:r>
              <w:rPr>
                <w:rFonts w:hint="eastAsia" w:ascii="宋体" w:hAnsi="宋体" w:eastAsia="宋体" w:cs="宋体"/>
                <w:i w:val="0"/>
                <w:iCs w:val="0"/>
                <w:color w:val="auto"/>
                <w:kern w:val="0"/>
                <w:sz w:val="21"/>
                <w:szCs w:val="21"/>
                <w:highlight w:val="none"/>
              </w:rPr>
              <w:t>）不合理或未提供的不得分。</w:t>
            </w:r>
          </w:p>
        </w:tc>
        <w:tc>
          <w:tcPr>
            <w:tcW w:w="702" w:type="dxa"/>
            <w:noWrap w:val="0"/>
            <w:vAlign w:val="center"/>
          </w:tcPr>
          <w:p w14:paraId="3E8DC667">
            <w:pPr>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15</w:t>
            </w:r>
          </w:p>
        </w:tc>
      </w:tr>
      <w:tr w14:paraId="5F976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101" w:type="dxa"/>
            <w:vMerge w:val="continue"/>
            <w:noWrap w:val="0"/>
            <w:vAlign w:val="center"/>
          </w:tcPr>
          <w:p w14:paraId="6DC51EB6">
            <w:pPr>
              <w:widowControl/>
              <w:shd w:val="clear" w:color="auto" w:fill="FFFFFF"/>
              <w:ind w:firstLine="420"/>
              <w:jc w:val="center"/>
              <w:rPr>
                <w:rFonts w:hint="eastAsia" w:ascii="宋体" w:hAnsi="宋体" w:eastAsia="宋体" w:cs="宋体"/>
                <w:kern w:val="0"/>
                <w:sz w:val="21"/>
                <w:szCs w:val="21"/>
              </w:rPr>
            </w:pPr>
          </w:p>
        </w:tc>
        <w:tc>
          <w:tcPr>
            <w:tcW w:w="1115" w:type="dxa"/>
            <w:noWrap w:val="0"/>
            <w:vAlign w:val="center"/>
          </w:tcPr>
          <w:p w14:paraId="7DDFD05A">
            <w:pPr>
              <w:jc w:val="center"/>
              <w:rPr>
                <w:rFonts w:hint="eastAsia" w:ascii="宋体" w:hAnsi="宋体" w:eastAsia="宋体" w:cs="宋体"/>
                <w:kern w:val="0"/>
                <w:sz w:val="21"/>
                <w:szCs w:val="21"/>
              </w:rPr>
            </w:pPr>
            <w:r>
              <w:rPr>
                <w:rFonts w:hint="eastAsia" w:ascii="宋体" w:hAnsi="宋体" w:eastAsia="宋体" w:cs="宋体"/>
                <w:kern w:val="0"/>
                <w:sz w:val="21"/>
                <w:szCs w:val="21"/>
              </w:rPr>
              <w:t>进度安排</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10分</w:t>
            </w:r>
            <w:r>
              <w:rPr>
                <w:rFonts w:hint="eastAsia" w:ascii="宋体" w:hAnsi="宋体" w:eastAsia="宋体" w:cs="宋体"/>
                <w:kern w:val="0"/>
                <w:sz w:val="21"/>
                <w:szCs w:val="21"/>
                <w:lang w:eastAsia="zh-CN"/>
              </w:rPr>
              <w:t>）</w:t>
            </w:r>
          </w:p>
        </w:tc>
        <w:tc>
          <w:tcPr>
            <w:tcW w:w="6528" w:type="dxa"/>
            <w:noWrap w:val="0"/>
            <w:vAlign w:val="center"/>
          </w:tcPr>
          <w:p w14:paraId="4DDEDF40">
            <w:pPr>
              <w:spacing w:line="360" w:lineRule="auto"/>
              <w:ind w:firstLine="420"/>
              <w:rPr>
                <w:rFonts w:hint="eastAsia" w:ascii="宋体" w:hAnsi="宋体" w:eastAsia="宋体" w:cs="宋体"/>
                <w:i w:val="0"/>
                <w:iCs w:val="0"/>
                <w:color w:val="auto"/>
                <w:kern w:val="0"/>
                <w:sz w:val="21"/>
                <w:szCs w:val="21"/>
                <w:highlight w:val="none"/>
                <w:lang w:eastAsia="zh-CN"/>
              </w:rPr>
            </w:pPr>
            <w:r>
              <w:rPr>
                <w:rFonts w:hint="eastAsia" w:ascii="宋体" w:hAnsi="宋体" w:eastAsia="宋体" w:cs="宋体"/>
                <w:i w:val="0"/>
                <w:iCs w:val="0"/>
                <w:color w:val="auto"/>
                <w:kern w:val="0"/>
                <w:sz w:val="21"/>
                <w:szCs w:val="21"/>
                <w:highlight w:val="none"/>
              </w:rPr>
              <w:t>投标人根据本项目</w:t>
            </w:r>
            <w:r>
              <w:rPr>
                <w:rFonts w:hint="eastAsia" w:ascii="宋体" w:hAnsi="宋体" w:eastAsia="宋体" w:cs="宋体"/>
                <w:i w:val="0"/>
                <w:iCs w:val="0"/>
                <w:color w:val="auto"/>
                <w:kern w:val="0"/>
                <w:sz w:val="21"/>
                <w:szCs w:val="21"/>
                <w:highlight w:val="none"/>
                <w:lang w:eastAsia="zh-CN"/>
              </w:rPr>
              <w:t>招标服务需求</w:t>
            </w:r>
            <w:r>
              <w:rPr>
                <w:rFonts w:hint="eastAsia" w:ascii="宋体" w:hAnsi="宋体" w:eastAsia="宋体" w:cs="宋体"/>
                <w:i w:val="0"/>
                <w:iCs w:val="0"/>
                <w:color w:val="auto"/>
                <w:kern w:val="0"/>
                <w:sz w:val="21"/>
                <w:szCs w:val="21"/>
                <w:highlight w:val="none"/>
              </w:rPr>
              <w:t>制定的工期计划</w:t>
            </w:r>
            <w:r>
              <w:rPr>
                <w:rFonts w:hint="eastAsia" w:ascii="宋体" w:hAnsi="宋体" w:eastAsia="宋体" w:cs="宋体"/>
                <w:i w:val="0"/>
                <w:iCs w:val="0"/>
                <w:color w:val="auto"/>
                <w:kern w:val="0"/>
                <w:sz w:val="21"/>
                <w:szCs w:val="21"/>
                <w:highlight w:val="none"/>
                <w:lang w:eastAsia="zh-CN"/>
              </w:rPr>
              <w:t>、进度安排方案，</w:t>
            </w:r>
            <w:r>
              <w:rPr>
                <w:rFonts w:hint="eastAsia" w:ascii="宋体" w:hAnsi="宋体" w:eastAsia="宋体" w:cs="宋体"/>
                <w:i w:val="0"/>
                <w:iCs w:val="0"/>
                <w:color w:val="auto"/>
                <w:kern w:val="0"/>
                <w:sz w:val="21"/>
                <w:szCs w:val="21"/>
                <w:highlight w:val="none"/>
              </w:rPr>
              <w:t>由评委进行综合评分，本项最高得</w:t>
            </w:r>
            <w:r>
              <w:rPr>
                <w:rFonts w:hint="eastAsia" w:ascii="宋体" w:hAnsi="宋体" w:eastAsia="宋体" w:cs="宋体"/>
                <w:i w:val="0"/>
                <w:iCs w:val="0"/>
                <w:color w:val="auto"/>
                <w:kern w:val="0"/>
                <w:sz w:val="21"/>
                <w:szCs w:val="21"/>
                <w:highlight w:val="none"/>
                <w:lang w:val="en-US" w:eastAsia="zh-CN"/>
              </w:rPr>
              <w:t>1</w:t>
            </w:r>
            <w:r>
              <w:rPr>
                <w:rFonts w:hint="eastAsia" w:ascii="宋体" w:hAnsi="宋体" w:cs="宋体"/>
                <w:i w:val="0"/>
                <w:iCs w:val="0"/>
                <w:color w:val="auto"/>
                <w:kern w:val="0"/>
                <w:sz w:val="21"/>
                <w:szCs w:val="21"/>
                <w:highlight w:val="none"/>
                <w:lang w:val="en-US" w:eastAsia="zh-CN"/>
              </w:rPr>
              <w:t>0</w:t>
            </w:r>
            <w:r>
              <w:rPr>
                <w:rFonts w:hint="eastAsia" w:ascii="宋体" w:hAnsi="宋体" w:eastAsia="宋体" w:cs="宋体"/>
                <w:i w:val="0"/>
                <w:iCs w:val="0"/>
                <w:color w:val="auto"/>
                <w:kern w:val="0"/>
                <w:sz w:val="21"/>
                <w:szCs w:val="21"/>
                <w:highlight w:val="none"/>
              </w:rPr>
              <w:t>分</w:t>
            </w:r>
            <w:r>
              <w:rPr>
                <w:rFonts w:hint="eastAsia" w:ascii="宋体" w:hAnsi="宋体" w:eastAsia="宋体" w:cs="宋体"/>
                <w:i w:val="0"/>
                <w:iCs w:val="0"/>
                <w:color w:val="auto"/>
                <w:kern w:val="0"/>
                <w:sz w:val="21"/>
                <w:szCs w:val="21"/>
                <w:highlight w:val="none"/>
                <w:lang w:eastAsia="zh-CN"/>
              </w:rPr>
              <w:t>：</w:t>
            </w:r>
          </w:p>
          <w:p w14:paraId="0BE6719F">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（1）对项目理解透彻，</w:t>
            </w:r>
            <w:r>
              <w:rPr>
                <w:rFonts w:hint="eastAsia" w:ascii="宋体" w:hAnsi="宋体" w:eastAsia="宋体" w:cs="宋体"/>
                <w:i w:val="0"/>
                <w:iCs w:val="0"/>
                <w:color w:val="auto"/>
                <w:kern w:val="0"/>
                <w:sz w:val="21"/>
                <w:szCs w:val="21"/>
                <w:highlight w:val="none"/>
                <w:lang w:eastAsia="zh-CN"/>
              </w:rPr>
              <w:t>工期计划、进度安排</w:t>
            </w:r>
            <w:r>
              <w:rPr>
                <w:rFonts w:hint="eastAsia" w:ascii="宋体" w:hAnsi="宋体" w:eastAsia="宋体" w:cs="宋体"/>
                <w:i w:val="0"/>
                <w:iCs w:val="0"/>
                <w:color w:val="auto"/>
                <w:kern w:val="0"/>
                <w:sz w:val="21"/>
                <w:szCs w:val="21"/>
                <w:highlight w:val="none"/>
              </w:rPr>
              <w:t>内容科学、应对完善，对</w:t>
            </w:r>
            <w:r>
              <w:rPr>
                <w:rFonts w:hint="eastAsia" w:ascii="宋体" w:hAnsi="宋体" w:eastAsia="宋体" w:cs="宋体"/>
                <w:i w:val="0"/>
                <w:iCs w:val="0"/>
                <w:color w:val="auto"/>
                <w:kern w:val="0"/>
                <w:sz w:val="21"/>
                <w:szCs w:val="21"/>
                <w:highlight w:val="none"/>
                <w:lang w:eastAsia="zh-CN"/>
              </w:rPr>
              <w:t>招标服务需求</w:t>
            </w:r>
            <w:r>
              <w:rPr>
                <w:rFonts w:hint="eastAsia" w:ascii="宋体" w:hAnsi="宋体" w:eastAsia="宋体" w:cs="宋体"/>
                <w:i w:val="0"/>
                <w:iCs w:val="0"/>
                <w:color w:val="auto"/>
                <w:kern w:val="0"/>
                <w:sz w:val="21"/>
                <w:szCs w:val="21"/>
                <w:highlight w:val="none"/>
              </w:rPr>
              <w:t>把握到位且利于项目实施的得</w:t>
            </w:r>
            <w:r>
              <w:rPr>
                <w:rFonts w:hint="eastAsia" w:ascii="宋体" w:hAnsi="宋体" w:eastAsia="宋体" w:cs="宋体"/>
                <w:i w:val="0"/>
                <w:iCs w:val="0"/>
                <w:color w:val="auto"/>
                <w:kern w:val="0"/>
                <w:sz w:val="21"/>
                <w:szCs w:val="21"/>
                <w:highlight w:val="none"/>
                <w:lang w:val="en-US" w:eastAsia="zh-CN"/>
              </w:rPr>
              <w:t>1</w:t>
            </w:r>
            <w:r>
              <w:rPr>
                <w:rFonts w:hint="eastAsia" w:ascii="宋体" w:hAnsi="宋体" w:cs="宋体"/>
                <w:i w:val="0"/>
                <w:iCs w:val="0"/>
                <w:color w:val="auto"/>
                <w:kern w:val="0"/>
                <w:sz w:val="21"/>
                <w:szCs w:val="21"/>
                <w:highlight w:val="none"/>
                <w:lang w:val="en-US" w:eastAsia="zh-CN"/>
              </w:rPr>
              <w:t>0</w:t>
            </w:r>
            <w:r>
              <w:rPr>
                <w:rFonts w:hint="eastAsia" w:ascii="宋体" w:hAnsi="宋体" w:eastAsia="宋体" w:cs="宋体"/>
                <w:i w:val="0"/>
                <w:iCs w:val="0"/>
                <w:color w:val="auto"/>
                <w:kern w:val="0"/>
                <w:sz w:val="21"/>
                <w:szCs w:val="21"/>
                <w:highlight w:val="none"/>
                <w:lang w:val="en-US" w:eastAsia="zh-CN"/>
              </w:rPr>
              <w:t>.00</w:t>
            </w:r>
            <w:r>
              <w:rPr>
                <w:rFonts w:hint="eastAsia" w:ascii="宋体" w:hAnsi="宋体" w:eastAsia="宋体" w:cs="宋体"/>
                <w:i w:val="0"/>
                <w:iCs w:val="0"/>
                <w:color w:val="auto"/>
                <w:kern w:val="0"/>
                <w:sz w:val="21"/>
                <w:szCs w:val="21"/>
                <w:highlight w:val="none"/>
              </w:rPr>
              <w:t>分；</w:t>
            </w:r>
          </w:p>
          <w:p w14:paraId="3103974B">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（2）对项目理解清楚，</w:t>
            </w:r>
            <w:r>
              <w:rPr>
                <w:rFonts w:hint="eastAsia" w:ascii="宋体" w:hAnsi="宋体" w:eastAsia="宋体" w:cs="宋体"/>
                <w:i w:val="0"/>
                <w:iCs w:val="0"/>
                <w:color w:val="auto"/>
                <w:kern w:val="0"/>
                <w:sz w:val="21"/>
                <w:szCs w:val="21"/>
                <w:highlight w:val="none"/>
                <w:lang w:eastAsia="zh-CN"/>
              </w:rPr>
              <w:t>工期计划、进度安排</w:t>
            </w:r>
            <w:r>
              <w:rPr>
                <w:rFonts w:hint="eastAsia" w:ascii="宋体" w:hAnsi="宋体" w:eastAsia="宋体" w:cs="宋体"/>
                <w:i w:val="0"/>
                <w:iCs w:val="0"/>
                <w:color w:val="auto"/>
                <w:kern w:val="0"/>
                <w:sz w:val="21"/>
                <w:szCs w:val="21"/>
                <w:highlight w:val="none"/>
              </w:rPr>
              <w:t>内容科学、应对</w:t>
            </w:r>
            <w:r>
              <w:rPr>
                <w:rFonts w:hint="eastAsia" w:ascii="宋体" w:hAnsi="宋体" w:eastAsia="宋体" w:cs="宋体"/>
                <w:i w:val="0"/>
                <w:iCs w:val="0"/>
                <w:color w:val="auto"/>
                <w:kern w:val="0"/>
                <w:sz w:val="21"/>
                <w:szCs w:val="21"/>
                <w:highlight w:val="none"/>
                <w:lang w:eastAsia="zh-CN"/>
              </w:rPr>
              <w:t>较</w:t>
            </w:r>
            <w:r>
              <w:rPr>
                <w:rFonts w:hint="eastAsia" w:ascii="宋体" w:hAnsi="宋体" w:eastAsia="宋体" w:cs="宋体"/>
                <w:i w:val="0"/>
                <w:iCs w:val="0"/>
                <w:color w:val="auto"/>
                <w:kern w:val="0"/>
                <w:sz w:val="21"/>
                <w:szCs w:val="21"/>
                <w:highlight w:val="none"/>
              </w:rPr>
              <w:t>完善，能满足本项目</w:t>
            </w:r>
            <w:r>
              <w:rPr>
                <w:rFonts w:hint="eastAsia" w:ascii="宋体" w:hAnsi="宋体" w:eastAsia="宋体" w:cs="宋体"/>
                <w:i w:val="0"/>
                <w:iCs w:val="0"/>
                <w:color w:val="auto"/>
                <w:kern w:val="0"/>
                <w:sz w:val="21"/>
                <w:szCs w:val="21"/>
                <w:highlight w:val="none"/>
                <w:lang w:eastAsia="zh-CN"/>
              </w:rPr>
              <w:t>招标服务需求</w:t>
            </w:r>
            <w:r>
              <w:rPr>
                <w:rFonts w:hint="eastAsia" w:ascii="宋体" w:hAnsi="宋体" w:eastAsia="宋体" w:cs="宋体"/>
                <w:i w:val="0"/>
                <w:iCs w:val="0"/>
                <w:color w:val="auto"/>
                <w:kern w:val="0"/>
                <w:sz w:val="21"/>
                <w:szCs w:val="21"/>
                <w:highlight w:val="none"/>
              </w:rPr>
              <w:t>的得</w:t>
            </w:r>
            <w:r>
              <w:rPr>
                <w:rFonts w:hint="eastAsia" w:ascii="宋体" w:hAnsi="宋体" w:eastAsia="宋体" w:cs="宋体"/>
                <w:i w:val="0"/>
                <w:iCs w:val="0"/>
                <w:color w:val="auto"/>
                <w:kern w:val="0"/>
                <w:sz w:val="21"/>
                <w:szCs w:val="21"/>
                <w:highlight w:val="none"/>
                <w:lang w:val="en-US" w:eastAsia="zh-CN"/>
              </w:rPr>
              <w:t>8.00</w:t>
            </w:r>
            <w:r>
              <w:rPr>
                <w:rFonts w:hint="eastAsia" w:ascii="宋体" w:hAnsi="宋体" w:eastAsia="宋体" w:cs="宋体"/>
                <w:i w:val="0"/>
                <w:iCs w:val="0"/>
                <w:color w:val="auto"/>
                <w:kern w:val="0"/>
                <w:sz w:val="21"/>
                <w:szCs w:val="21"/>
                <w:highlight w:val="none"/>
              </w:rPr>
              <w:t>分；</w:t>
            </w:r>
          </w:p>
          <w:p w14:paraId="4641F0AC">
            <w:pPr>
              <w:spacing w:line="360" w:lineRule="auto"/>
              <w:ind w:firstLine="420"/>
              <w:rPr>
                <w:rFonts w:hint="default" w:ascii="宋体" w:hAnsi="宋体" w:eastAsia="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rPr>
              <w:t>（3）对项目基本清楚，工期计划、进度安排方案内容基本合理、应对措施基本具备，能基本满足本项目</w:t>
            </w:r>
            <w:r>
              <w:rPr>
                <w:rFonts w:hint="eastAsia" w:ascii="宋体" w:hAnsi="宋体" w:eastAsia="宋体" w:cs="宋体"/>
                <w:i w:val="0"/>
                <w:iCs w:val="0"/>
                <w:color w:val="auto"/>
                <w:kern w:val="0"/>
                <w:sz w:val="21"/>
                <w:szCs w:val="21"/>
                <w:highlight w:val="none"/>
                <w:lang w:eastAsia="zh-CN"/>
              </w:rPr>
              <w:t>招标服务需求</w:t>
            </w:r>
            <w:r>
              <w:rPr>
                <w:rFonts w:hint="eastAsia" w:ascii="宋体" w:hAnsi="宋体" w:eastAsia="宋体" w:cs="宋体"/>
                <w:i w:val="0"/>
                <w:iCs w:val="0"/>
                <w:color w:val="auto"/>
                <w:kern w:val="0"/>
                <w:sz w:val="21"/>
                <w:szCs w:val="21"/>
                <w:highlight w:val="none"/>
              </w:rPr>
              <w:t>的得6.00分；</w:t>
            </w:r>
          </w:p>
          <w:p w14:paraId="71949FCB">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lang w:val="en-US" w:eastAsia="zh-CN"/>
              </w:rPr>
              <w:t>4</w:t>
            </w: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对项目理解有偏差，</w:t>
            </w:r>
            <w:r>
              <w:rPr>
                <w:rFonts w:hint="eastAsia" w:ascii="宋体" w:hAnsi="宋体" w:eastAsia="宋体" w:cs="宋体"/>
                <w:i w:val="0"/>
                <w:iCs w:val="0"/>
                <w:color w:val="auto"/>
                <w:kern w:val="0"/>
                <w:sz w:val="21"/>
                <w:szCs w:val="21"/>
                <w:highlight w:val="none"/>
                <w:lang w:eastAsia="zh-CN"/>
              </w:rPr>
              <w:t>工期计划、进度安排</w:t>
            </w:r>
            <w:r>
              <w:rPr>
                <w:rFonts w:hint="eastAsia" w:ascii="宋体" w:hAnsi="宋体" w:eastAsia="宋体" w:cs="宋体"/>
                <w:i w:val="0"/>
                <w:iCs w:val="0"/>
                <w:color w:val="auto"/>
                <w:kern w:val="0"/>
                <w:sz w:val="21"/>
                <w:szCs w:val="21"/>
                <w:highlight w:val="none"/>
              </w:rPr>
              <w:t>方案内容基本合理、应对措施基本具备，可能影响到项目实施的得</w:t>
            </w:r>
            <w:r>
              <w:rPr>
                <w:rFonts w:hint="eastAsia" w:ascii="宋体" w:hAnsi="宋体" w:cs="宋体"/>
                <w:i w:val="0"/>
                <w:iCs w:val="0"/>
                <w:color w:val="auto"/>
                <w:kern w:val="0"/>
                <w:sz w:val="21"/>
                <w:szCs w:val="21"/>
                <w:highlight w:val="none"/>
                <w:lang w:val="en-US" w:eastAsia="zh-CN"/>
              </w:rPr>
              <w:t>4</w:t>
            </w:r>
            <w:r>
              <w:rPr>
                <w:rFonts w:hint="eastAsia" w:ascii="宋体" w:hAnsi="宋体" w:eastAsia="宋体" w:cs="宋体"/>
                <w:i w:val="0"/>
                <w:iCs w:val="0"/>
                <w:color w:val="auto"/>
                <w:kern w:val="0"/>
                <w:sz w:val="21"/>
                <w:szCs w:val="21"/>
                <w:highlight w:val="none"/>
                <w:lang w:val="en-US" w:eastAsia="zh-CN"/>
              </w:rPr>
              <w:t>.00</w:t>
            </w:r>
            <w:r>
              <w:rPr>
                <w:rFonts w:hint="eastAsia" w:ascii="宋体" w:hAnsi="宋体" w:eastAsia="宋体" w:cs="宋体"/>
                <w:i w:val="0"/>
                <w:iCs w:val="0"/>
                <w:color w:val="auto"/>
                <w:kern w:val="0"/>
                <w:sz w:val="21"/>
                <w:szCs w:val="21"/>
                <w:highlight w:val="none"/>
              </w:rPr>
              <w:t>分；</w:t>
            </w:r>
          </w:p>
          <w:p w14:paraId="52C0DB06">
            <w:pPr>
              <w:spacing w:line="360" w:lineRule="auto"/>
              <w:ind w:firstLine="420"/>
              <w:rPr>
                <w:rFonts w:hint="eastAsia" w:ascii="宋体" w:hAnsi="宋体" w:eastAsia="宋体" w:cs="宋体"/>
                <w:kern w:val="0"/>
                <w:sz w:val="21"/>
                <w:szCs w:val="21"/>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lang w:val="en-US" w:eastAsia="zh-CN"/>
              </w:rPr>
              <w:t>5</w:t>
            </w:r>
            <w:r>
              <w:rPr>
                <w:rFonts w:hint="eastAsia" w:ascii="宋体" w:hAnsi="宋体" w:eastAsia="宋体" w:cs="宋体"/>
                <w:i w:val="0"/>
                <w:iCs w:val="0"/>
                <w:color w:val="auto"/>
                <w:kern w:val="0"/>
                <w:sz w:val="21"/>
                <w:szCs w:val="21"/>
                <w:highlight w:val="none"/>
              </w:rPr>
              <w:t>）未体现的不得分。</w:t>
            </w:r>
          </w:p>
        </w:tc>
        <w:tc>
          <w:tcPr>
            <w:tcW w:w="702" w:type="dxa"/>
            <w:noWrap w:val="0"/>
            <w:vAlign w:val="center"/>
          </w:tcPr>
          <w:p w14:paraId="74A1FE8E">
            <w:pPr>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10</w:t>
            </w:r>
          </w:p>
        </w:tc>
      </w:tr>
      <w:tr w14:paraId="08FEF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1101" w:type="dxa"/>
            <w:vMerge w:val="continue"/>
            <w:noWrap w:val="0"/>
            <w:vAlign w:val="center"/>
          </w:tcPr>
          <w:p w14:paraId="661FF38C">
            <w:pPr>
              <w:widowControl/>
              <w:shd w:val="clear" w:color="auto" w:fill="FFFFFF"/>
              <w:ind w:firstLine="420"/>
              <w:jc w:val="center"/>
              <w:rPr>
                <w:rFonts w:hint="eastAsia" w:ascii="宋体" w:hAnsi="宋体" w:eastAsia="宋体" w:cs="宋体"/>
                <w:kern w:val="0"/>
                <w:sz w:val="21"/>
                <w:szCs w:val="21"/>
              </w:rPr>
            </w:pPr>
          </w:p>
        </w:tc>
        <w:tc>
          <w:tcPr>
            <w:tcW w:w="1115" w:type="dxa"/>
            <w:noWrap w:val="0"/>
            <w:vAlign w:val="center"/>
          </w:tcPr>
          <w:p w14:paraId="400A350F">
            <w:pPr>
              <w:widowControl/>
              <w:shd w:val="clear" w:color="auto" w:fill="FFFFFF"/>
              <w:jc w:val="center"/>
              <w:rPr>
                <w:rFonts w:hint="eastAsia" w:ascii="宋体" w:hAnsi="宋体" w:eastAsia="宋体" w:cs="宋体"/>
                <w:kern w:val="0"/>
                <w:sz w:val="21"/>
                <w:szCs w:val="21"/>
              </w:rPr>
            </w:pPr>
            <w:r>
              <w:rPr>
                <w:rFonts w:hint="eastAsia" w:ascii="宋体" w:hAnsi="宋体" w:eastAsia="宋体" w:cs="宋体"/>
                <w:kern w:val="0"/>
                <w:sz w:val="21"/>
                <w:szCs w:val="21"/>
              </w:rPr>
              <w:t>质量保证措施</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10分</w:t>
            </w:r>
            <w:r>
              <w:rPr>
                <w:rFonts w:hint="eastAsia" w:ascii="宋体" w:hAnsi="宋体" w:eastAsia="宋体" w:cs="宋体"/>
                <w:kern w:val="0"/>
                <w:sz w:val="21"/>
                <w:szCs w:val="21"/>
                <w:lang w:eastAsia="zh-CN"/>
              </w:rPr>
              <w:t>）</w:t>
            </w:r>
          </w:p>
        </w:tc>
        <w:tc>
          <w:tcPr>
            <w:tcW w:w="6528" w:type="dxa"/>
            <w:noWrap w:val="0"/>
            <w:vAlign w:val="center"/>
          </w:tcPr>
          <w:p w14:paraId="1E5E0189">
            <w:pPr>
              <w:spacing w:line="360" w:lineRule="auto"/>
              <w:ind w:firstLine="420"/>
              <w:rPr>
                <w:rFonts w:hint="eastAsia" w:ascii="宋体" w:hAnsi="宋体" w:eastAsia="宋体" w:cs="宋体"/>
                <w:i w:val="0"/>
                <w:iCs w:val="0"/>
                <w:color w:val="auto"/>
                <w:kern w:val="0"/>
                <w:sz w:val="21"/>
                <w:szCs w:val="21"/>
                <w:highlight w:val="none"/>
                <w:lang w:eastAsia="zh-CN"/>
              </w:rPr>
            </w:pPr>
            <w:r>
              <w:rPr>
                <w:rFonts w:hint="eastAsia" w:ascii="宋体" w:hAnsi="宋体" w:eastAsia="宋体" w:cs="宋体"/>
                <w:i w:val="0"/>
                <w:iCs w:val="0"/>
                <w:color w:val="auto"/>
                <w:kern w:val="0"/>
                <w:sz w:val="21"/>
                <w:szCs w:val="21"/>
                <w:highlight w:val="none"/>
              </w:rPr>
              <w:t>投标人根据本项目</w:t>
            </w:r>
            <w:r>
              <w:rPr>
                <w:rFonts w:hint="eastAsia" w:ascii="宋体" w:hAnsi="宋体" w:eastAsia="宋体" w:cs="宋体"/>
                <w:i w:val="0"/>
                <w:iCs w:val="0"/>
                <w:color w:val="auto"/>
                <w:kern w:val="0"/>
                <w:sz w:val="21"/>
                <w:szCs w:val="21"/>
                <w:highlight w:val="none"/>
                <w:lang w:eastAsia="zh-CN"/>
              </w:rPr>
              <w:t>招标服务需求</w:t>
            </w:r>
            <w:r>
              <w:rPr>
                <w:rFonts w:hint="eastAsia" w:ascii="宋体" w:hAnsi="宋体" w:eastAsia="宋体" w:cs="宋体"/>
                <w:i w:val="0"/>
                <w:iCs w:val="0"/>
                <w:color w:val="auto"/>
                <w:kern w:val="0"/>
                <w:sz w:val="21"/>
                <w:szCs w:val="21"/>
                <w:highlight w:val="none"/>
              </w:rPr>
              <w:t>制定的质量保证及措施方案</w:t>
            </w: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由评委进行综合评分，本项最高得</w:t>
            </w:r>
            <w:r>
              <w:rPr>
                <w:rFonts w:hint="eastAsia" w:ascii="宋体" w:hAnsi="宋体" w:eastAsia="宋体" w:cs="宋体"/>
                <w:i w:val="0"/>
                <w:iCs w:val="0"/>
                <w:color w:val="auto"/>
                <w:kern w:val="0"/>
                <w:sz w:val="21"/>
                <w:szCs w:val="21"/>
                <w:highlight w:val="none"/>
                <w:lang w:val="en-US" w:eastAsia="zh-CN"/>
              </w:rPr>
              <w:t>1</w:t>
            </w:r>
            <w:r>
              <w:rPr>
                <w:rFonts w:hint="eastAsia" w:ascii="宋体" w:hAnsi="宋体" w:cs="宋体"/>
                <w:i w:val="0"/>
                <w:iCs w:val="0"/>
                <w:color w:val="auto"/>
                <w:kern w:val="0"/>
                <w:sz w:val="21"/>
                <w:szCs w:val="21"/>
                <w:highlight w:val="none"/>
                <w:lang w:val="en-US" w:eastAsia="zh-CN"/>
              </w:rPr>
              <w:t>0</w:t>
            </w:r>
            <w:r>
              <w:rPr>
                <w:rFonts w:hint="eastAsia" w:ascii="宋体" w:hAnsi="宋体" w:eastAsia="宋体" w:cs="宋体"/>
                <w:i w:val="0"/>
                <w:iCs w:val="0"/>
                <w:color w:val="auto"/>
                <w:kern w:val="0"/>
                <w:sz w:val="21"/>
                <w:szCs w:val="21"/>
                <w:highlight w:val="none"/>
              </w:rPr>
              <w:t>分</w:t>
            </w:r>
            <w:r>
              <w:rPr>
                <w:rFonts w:hint="eastAsia" w:ascii="宋体" w:hAnsi="宋体" w:eastAsia="宋体" w:cs="宋体"/>
                <w:i w:val="0"/>
                <w:iCs w:val="0"/>
                <w:color w:val="auto"/>
                <w:kern w:val="0"/>
                <w:sz w:val="21"/>
                <w:szCs w:val="21"/>
                <w:highlight w:val="none"/>
                <w:lang w:eastAsia="zh-CN"/>
              </w:rPr>
              <w:t>：</w:t>
            </w:r>
          </w:p>
          <w:p w14:paraId="05AC915D">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1</w:t>
            </w: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对项目理解透彻，具有完善的质量保证体系的，得</w:t>
            </w:r>
            <w:r>
              <w:rPr>
                <w:rFonts w:hint="eastAsia" w:ascii="宋体" w:hAnsi="宋体" w:eastAsia="宋体" w:cs="宋体"/>
                <w:i w:val="0"/>
                <w:iCs w:val="0"/>
                <w:color w:val="auto"/>
                <w:kern w:val="0"/>
                <w:sz w:val="21"/>
                <w:szCs w:val="21"/>
                <w:highlight w:val="none"/>
                <w:lang w:val="en-US" w:eastAsia="zh-CN"/>
              </w:rPr>
              <w:t>1</w:t>
            </w:r>
            <w:r>
              <w:rPr>
                <w:rFonts w:hint="eastAsia" w:ascii="宋体" w:hAnsi="宋体" w:cs="宋体"/>
                <w:i w:val="0"/>
                <w:iCs w:val="0"/>
                <w:color w:val="auto"/>
                <w:kern w:val="0"/>
                <w:sz w:val="21"/>
                <w:szCs w:val="21"/>
                <w:highlight w:val="none"/>
                <w:lang w:val="en-US" w:eastAsia="zh-CN"/>
              </w:rPr>
              <w:t>0</w:t>
            </w:r>
            <w:r>
              <w:rPr>
                <w:rFonts w:hint="eastAsia" w:ascii="宋体" w:hAnsi="宋体" w:eastAsia="宋体" w:cs="宋体"/>
                <w:i w:val="0"/>
                <w:iCs w:val="0"/>
                <w:color w:val="auto"/>
                <w:kern w:val="0"/>
                <w:sz w:val="21"/>
                <w:szCs w:val="21"/>
                <w:highlight w:val="none"/>
                <w:lang w:val="en-US" w:eastAsia="zh-CN"/>
              </w:rPr>
              <w:t>.00</w:t>
            </w:r>
            <w:r>
              <w:rPr>
                <w:rFonts w:hint="eastAsia" w:ascii="宋体" w:hAnsi="宋体" w:eastAsia="宋体" w:cs="宋体"/>
                <w:i w:val="0"/>
                <w:iCs w:val="0"/>
                <w:color w:val="auto"/>
                <w:kern w:val="0"/>
                <w:sz w:val="21"/>
                <w:szCs w:val="21"/>
                <w:highlight w:val="none"/>
              </w:rPr>
              <w:t>分；</w:t>
            </w:r>
          </w:p>
          <w:p w14:paraId="2EB0EBB7">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2）对项目理解较清楚，质量保证体系较完善的，得</w:t>
            </w:r>
            <w:r>
              <w:rPr>
                <w:rFonts w:hint="eastAsia" w:ascii="宋体" w:hAnsi="宋体" w:eastAsia="宋体" w:cs="宋体"/>
                <w:i w:val="0"/>
                <w:iCs w:val="0"/>
                <w:color w:val="auto"/>
                <w:kern w:val="0"/>
                <w:sz w:val="21"/>
                <w:szCs w:val="21"/>
                <w:highlight w:val="none"/>
                <w:lang w:val="en-US" w:eastAsia="zh-CN"/>
              </w:rPr>
              <w:t>8.00</w:t>
            </w:r>
            <w:r>
              <w:rPr>
                <w:rFonts w:hint="eastAsia" w:ascii="宋体" w:hAnsi="宋体" w:eastAsia="宋体" w:cs="宋体"/>
                <w:i w:val="0"/>
                <w:iCs w:val="0"/>
                <w:color w:val="auto"/>
                <w:kern w:val="0"/>
                <w:sz w:val="21"/>
                <w:szCs w:val="21"/>
                <w:highlight w:val="none"/>
              </w:rPr>
              <w:t>分；</w:t>
            </w:r>
          </w:p>
          <w:p w14:paraId="5E6D3ECD">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3）对项目基本清楚，质量保证体系</w:t>
            </w:r>
            <w:r>
              <w:rPr>
                <w:rFonts w:hint="eastAsia" w:ascii="宋体" w:hAnsi="宋体" w:eastAsia="宋体" w:cs="宋体"/>
                <w:i w:val="0"/>
                <w:iCs w:val="0"/>
                <w:color w:val="auto"/>
                <w:kern w:val="0"/>
                <w:sz w:val="21"/>
                <w:szCs w:val="21"/>
                <w:highlight w:val="none"/>
                <w:lang w:val="en-US" w:eastAsia="zh-CN"/>
              </w:rPr>
              <w:t>基本</w:t>
            </w:r>
            <w:r>
              <w:rPr>
                <w:rFonts w:hint="eastAsia" w:ascii="宋体" w:hAnsi="宋体" w:eastAsia="宋体" w:cs="宋体"/>
                <w:i w:val="0"/>
                <w:iCs w:val="0"/>
                <w:color w:val="auto"/>
                <w:kern w:val="0"/>
                <w:sz w:val="21"/>
                <w:szCs w:val="21"/>
                <w:highlight w:val="none"/>
              </w:rPr>
              <w:t>善的，得</w:t>
            </w:r>
            <w:r>
              <w:rPr>
                <w:rFonts w:hint="eastAsia" w:ascii="宋体" w:hAnsi="宋体" w:eastAsia="宋体" w:cs="宋体"/>
                <w:i w:val="0"/>
                <w:iCs w:val="0"/>
                <w:color w:val="auto"/>
                <w:kern w:val="0"/>
                <w:sz w:val="21"/>
                <w:szCs w:val="21"/>
                <w:highlight w:val="none"/>
                <w:lang w:val="en-US" w:eastAsia="zh-CN"/>
              </w:rPr>
              <w:t>6.00</w:t>
            </w:r>
            <w:r>
              <w:rPr>
                <w:rFonts w:hint="eastAsia" w:ascii="宋体" w:hAnsi="宋体" w:eastAsia="宋体" w:cs="宋体"/>
                <w:i w:val="0"/>
                <w:iCs w:val="0"/>
                <w:color w:val="auto"/>
                <w:kern w:val="0"/>
                <w:sz w:val="21"/>
                <w:szCs w:val="21"/>
                <w:highlight w:val="none"/>
              </w:rPr>
              <w:t>分；</w:t>
            </w:r>
          </w:p>
          <w:p w14:paraId="3C39C8AB">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lang w:val="en-US" w:eastAsia="zh-CN"/>
              </w:rPr>
              <w:t>4</w:t>
            </w: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对项目理解有偏差</w:t>
            </w: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质量保证体系不完善的，得</w:t>
            </w:r>
            <w:r>
              <w:rPr>
                <w:rFonts w:hint="eastAsia" w:ascii="宋体" w:hAnsi="宋体" w:cs="宋体"/>
                <w:i w:val="0"/>
                <w:iCs w:val="0"/>
                <w:color w:val="auto"/>
                <w:kern w:val="0"/>
                <w:sz w:val="21"/>
                <w:szCs w:val="21"/>
                <w:highlight w:val="none"/>
                <w:lang w:val="en-US" w:eastAsia="zh-CN"/>
              </w:rPr>
              <w:t>4</w:t>
            </w:r>
            <w:r>
              <w:rPr>
                <w:rFonts w:hint="eastAsia" w:ascii="宋体" w:hAnsi="宋体" w:eastAsia="宋体" w:cs="宋体"/>
                <w:i w:val="0"/>
                <w:iCs w:val="0"/>
                <w:color w:val="auto"/>
                <w:kern w:val="0"/>
                <w:sz w:val="21"/>
                <w:szCs w:val="21"/>
                <w:highlight w:val="none"/>
                <w:lang w:val="en-US" w:eastAsia="zh-CN"/>
              </w:rPr>
              <w:t>.00</w:t>
            </w:r>
            <w:r>
              <w:rPr>
                <w:rFonts w:hint="eastAsia" w:ascii="宋体" w:hAnsi="宋体" w:eastAsia="宋体" w:cs="宋体"/>
                <w:i w:val="0"/>
                <w:iCs w:val="0"/>
                <w:color w:val="auto"/>
                <w:kern w:val="0"/>
                <w:sz w:val="21"/>
                <w:szCs w:val="21"/>
                <w:highlight w:val="none"/>
              </w:rPr>
              <w:t>分；</w:t>
            </w:r>
          </w:p>
          <w:p w14:paraId="4EEF5385">
            <w:pPr>
              <w:spacing w:line="360" w:lineRule="auto"/>
              <w:ind w:firstLine="420"/>
              <w:rPr>
                <w:rFonts w:hint="eastAsia" w:ascii="宋体" w:hAnsi="宋体" w:eastAsia="宋体" w:cs="宋体"/>
                <w:kern w:val="0"/>
                <w:sz w:val="21"/>
                <w:szCs w:val="21"/>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lang w:val="en-US" w:eastAsia="zh-CN"/>
              </w:rPr>
              <w:t>5</w:t>
            </w:r>
            <w:r>
              <w:rPr>
                <w:rFonts w:hint="eastAsia" w:ascii="宋体" w:hAnsi="宋体" w:eastAsia="宋体" w:cs="宋体"/>
                <w:i w:val="0"/>
                <w:iCs w:val="0"/>
                <w:color w:val="auto"/>
                <w:kern w:val="0"/>
                <w:sz w:val="21"/>
                <w:szCs w:val="21"/>
                <w:highlight w:val="none"/>
              </w:rPr>
              <w:t>）未体现的不得分。</w:t>
            </w:r>
          </w:p>
        </w:tc>
        <w:tc>
          <w:tcPr>
            <w:tcW w:w="702" w:type="dxa"/>
            <w:noWrap w:val="0"/>
            <w:vAlign w:val="center"/>
          </w:tcPr>
          <w:p w14:paraId="025453FF">
            <w:pPr>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10</w:t>
            </w:r>
          </w:p>
        </w:tc>
      </w:tr>
      <w:tr w14:paraId="22220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1" w:type="dxa"/>
            <w:vMerge w:val="continue"/>
            <w:noWrap w:val="0"/>
            <w:vAlign w:val="center"/>
          </w:tcPr>
          <w:p w14:paraId="7582DF68">
            <w:pPr>
              <w:widowControl/>
              <w:shd w:val="clear" w:color="auto" w:fill="FFFFFF"/>
              <w:ind w:firstLine="420"/>
              <w:jc w:val="center"/>
              <w:rPr>
                <w:rFonts w:hint="eastAsia" w:ascii="宋体" w:hAnsi="宋体" w:eastAsia="宋体" w:cs="宋体"/>
                <w:kern w:val="0"/>
                <w:sz w:val="21"/>
                <w:szCs w:val="21"/>
              </w:rPr>
            </w:pPr>
          </w:p>
        </w:tc>
        <w:tc>
          <w:tcPr>
            <w:tcW w:w="1115" w:type="dxa"/>
            <w:noWrap w:val="0"/>
            <w:vAlign w:val="center"/>
          </w:tcPr>
          <w:p w14:paraId="7B507C72">
            <w:pPr>
              <w:widowControl/>
              <w:shd w:val="clear" w:color="auto" w:fill="FFFFFF"/>
              <w:jc w:val="center"/>
              <w:rPr>
                <w:rFonts w:hint="eastAsia" w:ascii="宋体" w:hAnsi="宋体" w:eastAsia="宋体" w:cs="宋体"/>
                <w:kern w:val="0"/>
                <w:sz w:val="21"/>
                <w:szCs w:val="21"/>
              </w:rPr>
            </w:pPr>
            <w:r>
              <w:rPr>
                <w:rFonts w:hint="eastAsia" w:ascii="宋体" w:hAnsi="宋体" w:eastAsia="宋体" w:cs="宋体"/>
                <w:kern w:val="0"/>
                <w:sz w:val="21"/>
                <w:szCs w:val="21"/>
              </w:rPr>
              <w:t>重点难点分析及合理化建议</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10分</w:t>
            </w:r>
            <w:r>
              <w:rPr>
                <w:rFonts w:hint="eastAsia" w:ascii="宋体" w:hAnsi="宋体" w:eastAsia="宋体" w:cs="宋体"/>
                <w:kern w:val="0"/>
                <w:sz w:val="21"/>
                <w:szCs w:val="21"/>
                <w:lang w:eastAsia="zh-CN"/>
              </w:rPr>
              <w:t>）</w:t>
            </w:r>
          </w:p>
        </w:tc>
        <w:tc>
          <w:tcPr>
            <w:tcW w:w="6528" w:type="dxa"/>
            <w:noWrap w:val="0"/>
            <w:vAlign w:val="center"/>
          </w:tcPr>
          <w:p w14:paraId="15285361">
            <w:pPr>
              <w:spacing w:line="360" w:lineRule="auto"/>
              <w:ind w:firstLine="420" w:firstLineChars="200"/>
              <w:rPr>
                <w:rFonts w:hint="eastAsia" w:ascii="宋体" w:hAnsi="宋体" w:eastAsia="宋体" w:cs="宋体"/>
                <w:i w:val="0"/>
                <w:iCs w:val="0"/>
                <w:color w:val="auto"/>
                <w:kern w:val="0"/>
                <w:sz w:val="21"/>
                <w:szCs w:val="21"/>
                <w:highlight w:val="none"/>
                <w:lang w:eastAsia="zh-CN"/>
              </w:rPr>
            </w:pPr>
            <w:r>
              <w:rPr>
                <w:rFonts w:hint="eastAsia" w:ascii="宋体" w:hAnsi="宋体" w:eastAsia="宋体" w:cs="宋体"/>
                <w:i w:val="0"/>
                <w:iCs w:val="0"/>
                <w:color w:val="auto"/>
                <w:kern w:val="0"/>
                <w:sz w:val="21"/>
                <w:szCs w:val="21"/>
                <w:highlight w:val="none"/>
              </w:rPr>
              <w:t>投标人根据本项目</w:t>
            </w:r>
            <w:r>
              <w:rPr>
                <w:rFonts w:hint="eastAsia" w:ascii="宋体" w:hAnsi="宋体" w:eastAsia="宋体" w:cs="宋体"/>
                <w:i w:val="0"/>
                <w:iCs w:val="0"/>
                <w:color w:val="auto"/>
                <w:kern w:val="0"/>
                <w:sz w:val="21"/>
                <w:szCs w:val="21"/>
                <w:highlight w:val="none"/>
                <w:lang w:eastAsia="zh-CN"/>
              </w:rPr>
              <w:t>招标服务需求</w:t>
            </w:r>
            <w:r>
              <w:rPr>
                <w:rFonts w:hint="eastAsia" w:ascii="宋体" w:hAnsi="宋体" w:eastAsia="宋体" w:cs="宋体"/>
                <w:i w:val="0"/>
                <w:iCs w:val="0"/>
                <w:color w:val="auto"/>
                <w:kern w:val="0"/>
                <w:sz w:val="21"/>
                <w:szCs w:val="21"/>
                <w:highlight w:val="none"/>
              </w:rPr>
              <w:t>对可能存在的问题进行重点难点分析，提出解决方案或合理化建议，由评委进行综合评分，本项最高得</w:t>
            </w:r>
            <w:r>
              <w:rPr>
                <w:rFonts w:hint="eastAsia" w:ascii="宋体" w:hAnsi="宋体" w:eastAsia="宋体" w:cs="宋体"/>
                <w:i w:val="0"/>
                <w:iCs w:val="0"/>
                <w:color w:val="auto"/>
                <w:kern w:val="0"/>
                <w:sz w:val="21"/>
                <w:szCs w:val="21"/>
                <w:highlight w:val="none"/>
                <w:lang w:val="en-US" w:eastAsia="zh-CN"/>
              </w:rPr>
              <w:t>1</w:t>
            </w:r>
            <w:r>
              <w:rPr>
                <w:rFonts w:hint="eastAsia" w:ascii="宋体" w:hAnsi="宋体" w:cs="宋体"/>
                <w:i w:val="0"/>
                <w:iCs w:val="0"/>
                <w:color w:val="auto"/>
                <w:kern w:val="0"/>
                <w:sz w:val="21"/>
                <w:szCs w:val="21"/>
                <w:highlight w:val="none"/>
                <w:lang w:val="en-US" w:eastAsia="zh-CN"/>
              </w:rPr>
              <w:t>0</w:t>
            </w:r>
            <w:r>
              <w:rPr>
                <w:rFonts w:hint="eastAsia" w:ascii="宋体" w:hAnsi="宋体" w:eastAsia="宋体" w:cs="宋体"/>
                <w:i w:val="0"/>
                <w:iCs w:val="0"/>
                <w:color w:val="auto"/>
                <w:kern w:val="0"/>
                <w:sz w:val="21"/>
                <w:szCs w:val="21"/>
                <w:highlight w:val="none"/>
              </w:rPr>
              <w:t>分</w:t>
            </w:r>
            <w:r>
              <w:rPr>
                <w:rFonts w:hint="eastAsia" w:ascii="宋体" w:hAnsi="宋体" w:eastAsia="宋体" w:cs="宋体"/>
                <w:i w:val="0"/>
                <w:iCs w:val="0"/>
                <w:color w:val="auto"/>
                <w:kern w:val="0"/>
                <w:sz w:val="21"/>
                <w:szCs w:val="21"/>
                <w:highlight w:val="none"/>
                <w:lang w:eastAsia="zh-CN"/>
              </w:rPr>
              <w:t>：</w:t>
            </w:r>
          </w:p>
          <w:p w14:paraId="55BC4B38">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1）整体分析和措施理解深入、逻辑清晰、重点难点定位准确，可执行性和可操作性强，满足项目需求得</w:t>
            </w:r>
            <w:r>
              <w:rPr>
                <w:rFonts w:hint="eastAsia" w:ascii="宋体" w:hAnsi="宋体" w:eastAsia="宋体" w:cs="宋体"/>
                <w:i w:val="0"/>
                <w:iCs w:val="0"/>
                <w:color w:val="auto"/>
                <w:kern w:val="0"/>
                <w:sz w:val="21"/>
                <w:szCs w:val="21"/>
                <w:highlight w:val="none"/>
                <w:lang w:val="en-US" w:eastAsia="zh-CN"/>
              </w:rPr>
              <w:t>1</w:t>
            </w:r>
            <w:r>
              <w:rPr>
                <w:rFonts w:hint="eastAsia" w:ascii="宋体" w:hAnsi="宋体" w:cs="宋体"/>
                <w:i w:val="0"/>
                <w:iCs w:val="0"/>
                <w:color w:val="auto"/>
                <w:kern w:val="0"/>
                <w:sz w:val="21"/>
                <w:szCs w:val="21"/>
                <w:highlight w:val="none"/>
                <w:lang w:val="en-US" w:eastAsia="zh-CN"/>
              </w:rPr>
              <w:t>0</w:t>
            </w:r>
            <w:r>
              <w:rPr>
                <w:rFonts w:hint="eastAsia" w:ascii="宋体" w:hAnsi="宋体" w:eastAsia="宋体" w:cs="宋体"/>
                <w:i w:val="0"/>
                <w:iCs w:val="0"/>
                <w:color w:val="auto"/>
                <w:kern w:val="0"/>
                <w:sz w:val="21"/>
                <w:szCs w:val="21"/>
                <w:highlight w:val="none"/>
                <w:lang w:val="en-US" w:eastAsia="zh-CN"/>
              </w:rPr>
              <w:t>.00</w:t>
            </w:r>
            <w:r>
              <w:rPr>
                <w:rFonts w:hint="eastAsia" w:ascii="宋体" w:hAnsi="宋体" w:eastAsia="宋体" w:cs="宋体"/>
                <w:i w:val="0"/>
                <w:iCs w:val="0"/>
                <w:color w:val="auto"/>
                <w:kern w:val="0"/>
                <w:sz w:val="21"/>
                <w:szCs w:val="21"/>
                <w:highlight w:val="none"/>
              </w:rPr>
              <w:t>分；</w:t>
            </w:r>
          </w:p>
          <w:p w14:paraId="6A6758D6">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2）整体分析和措施理解不深入、逻辑不够清晰、重点难点定位一般，可执行性和可操作性较强，基本符合项目需求得</w:t>
            </w:r>
            <w:r>
              <w:rPr>
                <w:rFonts w:hint="eastAsia" w:ascii="宋体" w:hAnsi="宋体" w:eastAsia="宋体" w:cs="宋体"/>
                <w:i w:val="0"/>
                <w:iCs w:val="0"/>
                <w:color w:val="auto"/>
                <w:kern w:val="0"/>
                <w:sz w:val="21"/>
                <w:szCs w:val="21"/>
                <w:highlight w:val="none"/>
                <w:lang w:val="en-US" w:eastAsia="zh-CN"/>
              </w:rPr>
              <w:t>8.00</w:t>
            </w:r>
            <w:r>
              <w:rPr>
                <w:rFonts w:hint="eastAsia" w:ascii="宋体" w:hAnsi="宋体" w:eastAsia="宋体" w:cs="宋体"/>
                <w:i w:val="0"/>
                <w:iCs w:val="0"/>
                <w:color w:val="auto"/>
                <w:kern w:val="0"/>
                <w:sz w:val="21"/>
                <w:szCs w:val="21"/>
                <w:highlight w:val="none"/>
              </w:rPr>
              <w:t>分；</w:t>
            </w:r>
          </w:p>
          <w:p w14:paraId="102B144B">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3）整体分析和措施理解一般、逻辑基本清晰、重点难点定位基本准确，可执行性和可操作性一般，部分符合项目需求得</w:t>
            </w:r>
            <w:r>
              <w:rPr>
                <w:rFonts w:hint="eastAsia" w:ascii="宋体" w:hAnsi="宋体" w:eastAsia="宋体" w:cs="宋体"/>
                <w:i w:val="0"/>
                <w:iCs w:val="0"/>
                <w:color w:val="auto"/>
                <w:kern w:val="0"/>
                <w:sz w:val="21"/>
                <w:szCs w:val="21"/>
                <w:highlight w:val="none"/>
                <w:lang w:val="en-US" w:eastAsia="zh-CN"/>
              </w:rPr>
              <w:t>6</w:t>
            </w:r>
            <w:r>
              <w:rPr>
                <w:rFonts w:hint="eastAsia" w:ascii="宋体" w:hAnsi="宋体" w:eastAsia="宋体" w:cs="宋体"/>
                <w:i w:val="0"/>
                <w:iCs w:val="0"/>
                <w:color w:val="auto"/>
                <w:kern w:val="0"/>
                <w:sz w:val="21"/>
                <w:szCs w:val="21"/>
                <w:highlight w:val="none"/>
              </w:rPr>
              <w:t>.00分；</w:t>
            </w:r>
          </w:p>
          <w:p w14:paraId="5F8D074E">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lang w:val="en-US" w:eastAsia="zh-CN"/>
              </w:rPr>
              <w:t>4</w:t>
            </w: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整体分析和措施理解肤浅、逻辑混乱、重点难点定位不准确，可执行性和可操作性一般，不太符合项目需求得</w:t>
            </w:r>
            <w:r>
              <w:rPr>
                <w:rFonts w:hint="eastAsia" w:ascii="宋体" w:hAnsi="宋体" w:cs="宋体"/>
                <w:i w:val="0"/>
                <w:iCs w:val="0"/>
                <w:color w:val="auto"/>
                <w:kern w:val="0"/>
                <w:sz w:val="21"/>
                <w:szCs w:val="21"/>
                <w:highlight w:val="none"/>
                <w:lang w:val="en-US" w:eastAsia="zh-CN"/>
              </w:rPr>
              <w:t>4</w:t>
            </w:r>
            <w:r>
              <w:rPr>
                <w:rFonts w:hint="eastAsia" w:ascii="宋体" w:hAnsi="宋体" w:eastAsia="宋体" w:cs="宋体"/>
                <w:i w:val="0"/>
                <w:iCs w:val="0"/>
                <w:color w:val="auto"/>
                <w:kern w:val="0"/>
                <w:sz w:val="21"/>
                <w:szCs w:val="21"/>
                <w:highlight w:val="none"/>
                <w:lang w:val="en-US" w:eastAsia="zh-CN"/>
              </w:rPr>
              <w:t>.00</w:t>
            </w:r>
            <w:r>
              <w:rPr>
                <w:rFonts w:hint="eastAsia" w:ascii="宋体" w:hAnsi="宋体" w:eastAsia="宋体" w:cs="宋体"/>
                <w:i w:val="0"/>
                <w:iCs w:val="0"/>
                <w:color w:val="auto"/>
                <w:kern w:val="0"/>
                <w:sz w:val="21"/>
                <w:szCs w:val="21"/>
                <w:highlight w:val="none"/>
              </w:rPr>
              <w:t>分；</w:t>
            </w:r>
          </w:p>
          <w:p w14:paraId="25AA18AA">
            <w:pPr>
              <w:spacing w:line="360" w:lineRule="auto"/>
              <w:ind w:firstLine="420"/>
              <w:rPr>
                <w:rFonts w:hint="eastAsia" w:ascii="宋体" w:hAnsi="宋体" w:eastAsia="宋体" w:cs="宋体"/>
                <w:kern w:val="0"/>
                <w:sz w:val="21"/>
                <w:szCs w:val="21"/>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lang w:val="en-US" w:eastAsia="zh-CN"/>
              </w:rPr>
              <w:t>5</w:t>
            </w:r>
            <w:r>
              <w:rPr>
                <w:rFonts w:hint="eastAsia" w:ascii="宋体" w:hAnsi="宋体" w:eastAsia="宋体" w:cs="宋体"/>
                <w:i w:val="0"/>
                <w:iCs w:val="0"/>
                <w:color w:val="auto"/>
                <w:kern w:val="0"/>
                <w:sz w:val="21"/>
                <w:szCs w:val="21"/>
                <w:highlight w:val="none"/>
              </w:rPr>
              <w:t>）未体现的不得分。</w:t>
            </w:r>
          </w:p>
        </w:tc>
        <w:tc>
          <w:tcPr>
            <w:tcW w:w="702" w:type="dxa"/>
            <w:noWrap w:val="0"/>
            <w:vAlign w:val="center"/>
          </w:tcPr>
          <w:p w14:paraId="597596FC">
            <w:pPr>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10</w:t>
            </w:r>
          </w:p>
        </w:tc>
      </w:tr>
      <w:tr w14:paraId="4E93D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6" w:hRule="atLeast"/>
          <w:jc w:val="center"/>
        </w:trPr>
        <w:tc>
          <w:tcPr>
            <w:tcW w:w="1101" w:type="dxa"/>
            <w:vMerge w:val="continue"/>
            <w:noWrap w:val="0"/>
            <w:vAlign w:val="center"/>
          </w:tcPr>
          <w:p w14:paraId="13B097F5">
            <w:pPr>
              <w:widowControl/>
              <w:shd w:val="clear" w:color="auto" w:fill="FFFFFF"/>
              <w:ind w:firstLine="420"/>
              <w:jc w:val="center"/>
              <w:rPr>
                <w:rFonts w:hint="eastAsia" w:ascii="宋体" w:hAnsi="宋体" w:eastAsia="宋体" w:cs="宋体"/>
                <w:kern w:val="0"/>
                <w:sz w:val="21"/>
                <w:szCs w:val="21"/>
              </w:rPr>
            </w:pPr>
          </w:p>
        </w:tc>
        <w:tc>
          <w:tcPr>
            <w:tcW w:w="1115" w:type="dxa"/>
            <w:noWrap w:val="0"/>
            <w:vAlign w:val="center"/>
          </w:tcPr>
          <w:p w14:paraId="6E5DDF2E">
            <w:pPr>
              <w:jc w:val="center"/>
              <w:rPr>
                <w:rFonts w:hint="eastAsia" w:ascii="宋体" w:hAnsi="宋体" w:eastAsia="宋体" w:cs="宋体"/>
                <w:kern w:val="0"/>
                <w:sz w:val="21"/>
                <w:szCs w:val="21"/>
              </w:rPr>
            </w:pPr>
            <w:r>
              <w:rPr>
                <w:rFonts w:hint="eastAsia" w:ascii="宋体" w:hAnsi="宋体" w:eastAsia="宋体" w:cs="宋体"/>
                <w:kern w:val="0"/>
                <w:sz w:val="21"/>
                <w:szCs w:val="21"/>
              </w:rPr>
              <w:t>项目管理制度</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10分</w:t>
            </w:r>
            <w:r>
              <w:rPr>
                <w:rFonts w:hint="eastAsia" w:ascii="宋体" w:hAnsi="宋体" w:eastAsia="宋体" w:cs="宋体"/>
                <w:kern w:val="0"/>
                <w:sz w:val="21"/>
                <w:szCs w:val="21"/>
                <w:lang w:eastAsia="zh-CN"/>
              </w:rPr>
              <w:t>）</w:t>
            </w:r>
          </w:p>
        </w:tc>
        <w:tc>
          <w:tcPr>
            <w:tcW w:w="6528" w:type="dxa"/>
            <w:noWrap w:val="0"/>
            <w:vAlign w:val="center"/>
          </w:tcPr>
          <w:p w14:paraId="080D90AE">
            <w:pPr>
              <w:spacing w:line="360" w:lineRule="auto"/>
              <w:ind w:firstLine="420" w:firstLineChars="20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投标人根据项目的作业环境和作业区域特点制定的管理制度</w:t>
            </w: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由评委进行综合评分，本项最高得</w:t>
            </w:r>
            <w:r>
              <w:rPr>
                <w:rFonts w:hint="eastAsia" w:ascii="宋体" w:hAnsi="宋体" w:eastAsia="宋体" w:cs="宋体"/>
                <w:i w:val="0"/>
                <w:iCs w:val="0"/>
                <w:color w:val="auto"/>
                <w:kern w:val="0"/>
                <w:sz w:val="21"/>
                <w:szCs w:val="21"/>
                <w:highlight w:val="none"/>
                <w:lang w:val="en-US" w:eastAsia="zh-CN"/>
              </w:rPr>
              <w:t>1</w:t>
            </w:r>
            <w:r>
              <w:rPr>
                <w:rFonts w:hint="eastAsia" w:ascii="宋体" w:hAnsi="宋体" w:cs="宋体"/>
                <w:i w:val="0"/>
                <w:iCs w:val="0"/>
                <w:color w:val="auto"/>
                <w:kern w:val="0"/>
                <w:sz w:val="21"/>
                <w:szCs w:val="21"/>
                <w:highlight w:val="none"/>
                <w:lang w:val="en-US" w:eastAsia="zh-CN"/>
              </w:rPr>
              <w:t>0</w:t>
            </w:r>
            <w:r>
              <w:rPr>
                <w:rFonts w:hint="eastAsia" w:ascii="宋体" w:hAnsi="宋体" w:eastAsia="宋体" w:cs="宋体"/>
                <w:i w:val="0"/>
                <w:iCs w:val="0"/>
                <w:color w:val="auto"/>
                <w:kern w:val="0"/>
                <w:sz w:val="21"/>
                <w:szCs w:val="21"/>
                <w:highlight w:val="none"/>
              </w:rPr>
              <w:t>分</w:t>
            </w:r>
            <w:r>
              <w:rPr>
                <w:rFonts w:hint="eastAsia" w:ascii="宋体" w:hAnsi="宋体" w:eastAsia="宋体" w:cs="宋体"/>
                <w:i w:val="0"/>
                <w:iCs w:val="0"/>
                <w:color w:val="auto"/>
                <w:kern w:val="0"/>
                <w:sz w:val="21"/>
                <w:szCs w:val="21"/>
                <w:highlight w:val="none"/>
                <w:lang w:eastAsia="zh-CN"/>
              </w:rPr>
              <w:t>：</w:t>
            </w:r>
          </w:p>
          <w:p w14:paraId="2E64E414">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1）人员配备齐全合理，分工明确，完全满足本项目实施的得</w:t>
            </w:r>
            <w:r>
              <w:rPr>
                <w:rFonts w:hint="eastAsia" w:ascii="宋体" w:hAnsi="宋体" w:eastAsia="宋体" w:cs="宋体"/>
                <w:i w:val="0"/>
                <w:iCs w:val="0"/>
                <w:color w:val="auto"/>
                <w:kern w:val="0"/>
                <w:sz w:val="21"/>
                <w:szCs w:val="21"/>
                <w:highlight w:val="none"/>
                <w:lang w:val="en-US" w:eastAsia="zh-CN"/>
              </w:rPr>
              <w:t>1</w:t>
            </w:r>
            <w:r>
              <w:rPr>
                <w:rFonts w:hint="eastAsia" w:ascii="宋体" w:hAnsi="宋体" w:cs="宋体"/>
                <w:i w:val="0"/>
                <w:iCs w:val="0"/>
                <w:color w:val="auto"/>
                <w:kern w:val="0"/>
                <w:sz w:val="21"/>
                <w:szCs w:val="21"/>
                <w:highlight w:val="none"/>
                <w:lang w:val="en-US" w:eastAsia="zh-CN"/>
              </w:rPr>
              <w:t>0</w:t>
            </w:r>
            <w:r>
              <w:rPr>
                <w:rFonts w:hint="eastAsia" w:ascii="宋体" w:hAnsi="宋体" w:eastAsia="宋体" w:cs="宋体"/>
                <w:i w:val="0"/>
                <w:iCs w:val="0"/>
                <w:color w:val="auto"/>
                <w:kern w:val="0"/>
                <w:sz w:val="21"/>
                <w:szCs w:val="21"/>
                <w:highlight w:val="none"/>
                <w:lang w:val="en-US" w:eastAsia="zh-CN"/>
              </w:rPr>
              <w:t>.00</w:t>
            </w:r>
            <w:r>
              <w:rPr>
                <w:rFonts w:hint="eastAsia" w:ascii="宋体" w:hAnsi="宋体" w:eastAsia="宋体" w:cs="宋体"/>
                <w:i w:val="0"/>
                <w:iCs w:val="0"/>
                <w:color w:val="auto"/>
                <w:kern w:val="0"/>
                <w:sz w:val="21"/>
                <w:szCs w:val="21"/>
                <w:highlight w:val="none"/>
              </w:rPr>
              <w:t>分；</w:t>
            </w:r>
          </w:p>
          <w:p w14:paraId="753F34C6">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2）人员配备较齐全合理，分工较明确，满足本项目实施的得</w:t>
            </w:r>
            <w:r>
              <w:rPr>
                <w:rFonts w:hint="eastAsia" w:ascii="宋体" w:hAnsi="宋体" w:eastAsia="宋体" w:cs="宋体"/>
                <w:i w:val="0"/>
                <w:iCs w:val="0"/>
                <w:color w:val="auto"/>
                <w:kern w:val="0"/>
                <w:sz w:val="21"/>
                <w:szCs w:val="21"/>
                <w:highlight w:val="none"/>
                <w:lang w:val="en-US" w:eastAsia="zh-CN"/>
              </w:rPr>
              <w:t>8.00</w:t>
            </w:r>
            <w:r>
              <w:rPr>
                <w:rFonts w:hint="eastAsia" w:ascii="宋体" w:hAnsi="宋体" w:eastAsia="宋体" w:cs="宋体"/>
                <w:i w:val="0"/>
                <w:iCs w:val="0"/>
                <w:color w:val="auto"/>
                <w:kern w:val="0"/>
                <w:sz w:val="21"/>
                <w:szCs w:val="21"/>
                <w:highlight w:val="none"/>
              </w:rPr>
              <w:t>分；</w:t>
            </w:r>
          </w:p>
          <w:p w14:paraId="6DE8AD4F">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3）人员配备基本齐全合理，分工基本明确，基本满足本项目实施的得</w:t>
            </w:r>
            <w:r>
              <w:rPr>
                <w:rFonts w:hint="eastAsia" w:ascii="宋体" w:hAnsi="宋体" w:eastAsia="宋体" w:cs="宋体"/>
                <w:i w:val="0"/>
                <w:iCs w:val="0"/>
                <w:color w:val="auto"/>
                <w:kern w:val="0"/>
                <w:sz w:val="21"/>
                <w:szCs w:val="21"/>
                <w:highlight w:val="none"/>
                <w:lang w:val="en-US" w:eastAsia="zh-CN"/>
              </w:rPr>
              <w:t>6</w:t>
            </w:r>
            <w:r>
              <w:rPr>
                <w:rFonts w:hint="eastAsia" w:ascii="宋体" w:hAnsi="宋体" w:eastAsia="宋体" w:cs="宋体"/>
                <w:i w:val="0"/>
                <w:iCs w:val="0"/>
                <w:color w:val="auto"/>
                <w:kern w:val="0"/>
                <w:sz w:val="21"/>
                <w:szCs w:val="21"/>
                <w:highlight w:val="none"/>
              </w:rPr>
              <w:t>.00分；</w:t>
            </w:r>
          </w:p>
          <w:p w14:paraId="53296F3C">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lang w:val="en-US" w:eastAsia="zh-CN"/>
              </w:rPr>
              <w:t>4</w:t>
            </w: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人员配备不甚齐全合理，分工不甚明确，不能满足本项目实施的得</w:t>
            </w:r>
            <w:r>
              <w:rPr>
                <w:rFonts w:hint="eastAsia" w:ascii="宋体" w:hAnsi="宋体" w:cs="宋体"/>
                <w:i w:val="0"/>
                <w:iCs w:val="0"/>
                <w:color w:val="auto"/>
                <w:kern w:val="0"/>
                <w:sz w:val="21"/>
                <w:szCs w:val="21"/>
                <w:highlight w:val="none"/>
                <w:lang w:val="en-US" w:eastAsia="zh-CN"/>
              </w:rPr>
              <w:t>4</w:t>
            </w:r>
            <w:r>
              <w:rPr>
                <w:rFonts w:hint="eastAsia" w:ascii="宋体" w:hAnsi="宋体" w:eastAsia="宋体" w:cs="宋体"/>
                <w:i w:val="0"/>
                <w:iCs w:val="0"/>
                <w:color w:val="auto"/>
                <w:kern w:val="0"/>
                <w:sz w:val="21"/>
                <w:szCs w:val="21"/>
                <w:highlight w:val="none"/>
                <w:lang w:val="en-US" w:eastAsia="zh-CN"/>
              </w:rPr>
              <w:t>.00</w:t>
            </w:r>
            <w:r>
              <w:rPr>
                <w:rFonts w:hint="eastAsia" w:ascii="宋体" w:hAnsi="宋体" w:eastAsia="宋体" w:cs="宋体"/>
                <w:i w:val="0"/>
                <w:iCs w:val="0"/>
                <w:color w:val="auto"/>
                <w:kern w:val="0"/>
                <w:sz w:val="21"/>
                <w:szCs w:val="21"/>
                <w:highlight w:val="none"/>
              </w:rPr>
              <w:t>分；</w:t>
            </w:r>
          </w:p>
          <w:p w14:paraId="264E722B">
            <w:pPr>
              <w:spacing w:line="360" w:lineRule="auto"/>
              <w:ind w:firstLine="420"/>
              <w:rPr>
                <w:rFonts w:hint="eastAsia" w:ascii="宋体" w:hAnsi="宋体" w:eastAsia="宋体" w:cs="宋体"/>
                <w:kern w:val="0"/>
                <w:sz w:val="21"/>
                <w:szCs w:val="21"/>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lang w:val="en-US" w:eastAsia="zh-CN"/>
              </w:rPr>
              <w:t>5</w:t>
            </w:r>
            <w:r>
              <w:rPr>
                <w:rFonts w:hint="eastAsia" w:ascii="宋体" w:hAnsi="宋体" w:eastAsia="宋体" w:cs="宋体"/>
                <w:i w:val="0"/>
                <w:iCs w:val="0"/>
                <w:color w:val="auto"/>
                <w:kern w:val="0"/>
                <w:sz w:val="21"/>
                <w:szCs w:val="21"/>
                <w:highlight w:val="none"/>
              </w:rPr>
              <w:t>）未体现的不得分。</w:t>
            </w:r>
          </w:p>
        </w:tc>
        <w:tc>
          <w:tcPr>
            <w:tcW w:w="702" w:type="dxa"/>
            <w:noWrap w:val="0"/>
            <w:vAlign w:val="center"/>
          </w:tcPr>
          <w:p w14:paraId="65FFEA54">
            <w:pPr>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10</w:t>
            </w:r>
          </w:p>
        </w:tc>
      </w:tr>
      <w:tr w14:paraId="2D1C6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1" w:type="dxa"/>
            <w:vMerge w:val="continue"/>
            <w:noWrap w:val="0"/>
            <w:vAlign w:val="center"/>
          </w:tcPr>
          <w:p w14:paraId="70EB2C3B">
            <w:pPr>
              <w:widowControl/>
              <w:shd w:val="clear" w:color="auto" w:fill="FFFFFF"/>
              <w:ind w:firstLine="420"/>
              <w:jc w:val="center"/>
              <w:rPr>
                <w:rFonts w:hint="eastAsia" w:ascii="宋体" w:hAnsi="宋体" w:eastAsia="宋体" w:cs="宋体"/>
                <w:kern w:val="0"/>
                <w:sz w:val="21"/>
                <w:szCs w:val="21"/>
              </w:rPr>
            </w:pPr>
          </w:p>
        </w:tc>
        <w:tc>
          <w:tcPr>
            <w:tcW w:w="1115" w:type="dxa"/>
            <w:noWrap w:val="0"/>
            <w:vAlign w:val="center"/>
          </w:tcPr>
          <w:p w14:paraId="18C043F2">
            <w:pPr>
              <w:jc w:val="center"/>
              <w:rPr>
                <w:rFonts w:hint="eastAsia" w:ascii="宋体" w:hAnsi="宋体" w:eastAsia="宋体" w:cs="宋体"/>
                <w:kern w:val="0"/>
                <w:sz w:val="21"/>
                <w:szCs w:val="21"/>
              </w:rPr>
            </w:pPr>
            <w:r>
              <w:rPr>
                <w:rFonts w:hint="eastAsia" w:ascii="宋体" w:hAnsi="宋体" w:eastAsia="宋体" w:cs="宋体"/>
                <w:kern w:val="0"/>
                <w:sz w:val="21"/>
                <w:szCs w:val="21"/>
              </w:rPr>
              <w:t>安全保密措施</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10分</w:t>
            </w:r>
            <w:r>
              <w:rPr>
                <w:rFonts w:hint="eastAsia" w:ascii="宋体" w:hAnsi="宋体" w:eastAsia="宋体" w:cs="宋体"/>
                <w:kern w:val="0"/>
                <w:sz w:val="21"/>
                <w:szCs w:val="21"/>
                <w:lang w:eastAsia="zh-CN"/>
              </w:rPr>
              <w:t>）</w:t>
            </w:r>
          </w:p>
        </w:tc>
        <w:tc>
          <w:tcPr>
            <w:tcW w:w="6528" w:type="dxa"/>
            <w:noWrap w:val="0"/>
            <w:vAlign w:val="center"/>
          </w:tcPr>
          <w:p w14:paraId="75E2B86E">
            <w:pPr>
              <w:spacing w:line="360" w:lineRule="auto"/>
              <w:ind w:firstLine="420" w:firstLineChars="20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投标人根据本项目</w:t>
            </w:r>
            <w:r>
              <w:rPr>
                <w:rFonts w:hint="eastAsia" w:ascii="宋体" w:hAnsi="宋体" w:eastAsia="宋体" w:cs="宋体"/>
                <w:i w:val="0"/>
                <w:iCs w:val="0"/>
                <w:color w:val="auto"/>
                <w:kern w:val="0"/>
                <w:sz w:val="21"/>
                <w:szCs w:val="21"/>
                <w:highlight w:val="none"/>
                <w:lang w:eastAsia="zh-CN"/>
              </w:rPr>
              <w:t>招标服务需求制定</w:t>
            </w:r>
            <w:r>
              <w:rPr>
                <w:rFonts w:hint="eastAsia" w:ascii="宋体" w:hAnsi="宋体" w:eastAsia="宋体" w:cs="宋体"/>
                <w:i w:val="0"/>
                <w:iCs w:val="0"/>
                <w:color w:val="auto"/>
                <w:kern w:val="0"/>
                <w:sz w:val="21"/>
                <w:szCs w:val="21"/>
                <w:highlight w:val="none"/>
              </w:rPr>
              <w:t>的安全保密制度、数据安全保密措施</w:t>
            </w:r>
            <w:r>
              <w:rPr>
                <w:rFonts w:hint="eastAsia" w:ascii="宋体" w:hAnsi="宋体" w:eastAsia="宋体" w:cs="宋体"/>
                <w:i w:val="0"/>
                <w:iCs w:val="0"/>
                <w:color w:val="auto"/>
                <w:kern w:val="0"/>
                <w:sz w:val="21"/>
                <w:szCs w:val="21"/>
                <w:highlight w:val="none"/>
                <w:lang w:eastAsia="zh-CN"/>
              </w:rPr>
              <w:t>方案，</w:t>
            </w:r>
            <w:r>
              <w:rPr>
                <w:rFonts w:hint="eastAsia" w:ascii="宋体" w:hAnsi="宋体" w:eastAsia="宋体" w:cs="宋体"/>
                <w:i w:val="0"/>
                <w:iCs w:val="0"/>
                <w:color w:val="auto"/>
                <w:kern w:val="0"/>
                <w:sz w:val="21"/>
                <w:szCs w:val="21"/>
                <w:highlight w:val="none"/>
              </w:rPr>
              <w:t>由评委进行综合评分，本项最高得</w:t>
            </w:r>
            <w:r>
              <w:rPr>
                <w:rFonts w:hint="eastAsia" w:ascii="宋体" w:hAnsi="宋体" w:eastAsia="宋体" w:cs="宋体"/>
                <w:i w:val="0"/>
                <w:iCs w:val="0"/>
                <w:color w:val="auto"/>
                <w:kern w:val="0"/>
                <w:sz w:val="21"/>
                <w:szCs w:val="21"/>
                <w:highlight w:val="none"/>
                <w:lang w:val="en-US" w:eastAsia="zh-CN"/>
              </w:rPr>
              <w:t>10</w:t>
            </w:r>
            <w:r>
              <w:rPr>
                <w:rFonts w:hint="eastAsia" w:ascii="宋体" w:hAnsi="宋体" w:eastAsia="宋体" w:cs="宋体"/>
                <w:i w:val="0"/>
                <w:iCs w:val="0"/>
                <w:color w:val="auto"/>
                <w:kern w:val="0"/>
                <w:sz w:val="21"/>
                <w:szCs w:val="21"/>
                <w:highlight w:val="none"/>
              </w:rPr>
              <w:t>分</w:t>
            </w:r>
            <w:r>
              <w:rPr>
                <w:rFonts w:hint="eastAsia" w:ascii="宋体" w:hAnsi="宋体" w:eastAsia="宋体" w:cs="宋体"/>
                <w:i w:val="0"/>
                <w:iCs w:val="0"/>
                <w:color w:val="auto"/>
                <w:kern w:val="0"/>
                <w:sz w:val="21"/>
                <w:szCs w:val="21"/>
                <w:highlight w:val="none"/>
                <w:lang w:eastAsia="zh-CN"/>
              </w:rPr>
              <w:t>：</w:t>
            </w:r>
          </w:p>
          <w:p w14:paraId="7EE65427">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1）投标人具有完备的安全保密制度、制定数据安全保密措施的，完全满足本项目实施的得</w:t>
            </w:r>
            <w:r>
              <w:rPr>
                <w:rFonts w:hint="eastAsia" w:ascii="宋体" w:hAnsi="宋体" w:eastAsia="宋体" w:cs="宋体"/>
                <w:i w:val="0"/>
                <w:iCs w:val="0"/>
                <w:color w:val="auto"/>
                <w:kern w:val="0"/>
                <w:sz w:val="21"/>
                <w:szCs w:val="21"/>
                <w:highlight w:val="none"/>
                <w:lang w:val="en-US" w:eastAsia="zh-CN"/>
              </w:rPr>
              <w:t>1</w:t>
            </w:r>
            <w:r>
              <w:rPr>
                <w:rFonts w:hint="eastAsia" w:ascii="宋体" w:hAnsi="宋体" w:cs="宋体"/>
                <w:i w:val="0"/>
                <w:iCs w:val="0"/>
                <w:color w:val="auto"/>
                <w:kern w:val="0"/>
                <w:sz w:val="21"/>
                <w:szCs w:val="21"/>
                <w:highlight w:val="none"/>
                <w:lang w:val="en-US" w:eastAsia="zh-CN"/>
              </w:rPr>
              <w:t>0</w:t>
            </w:r>
            <w:r>
              <w:rPr>
                <w:rFonts w:hint="eastAsia" w:ascii="宋体" w:hAnsi="宋体" w:eastAsia="宋体" w:cs="宋体"/>
                <w:i w:val="0"/>
                <w:iCs w:val="0"/>
                <w:color w:val="auto"/>
                <w:kern w:val="0"/>
                <w:sz w:val="21"/>
                <w:szCs w:val="21"/>
                <w:highlight w:val="none"/>
                <w:lang w:val="en-US" w:eastAsia="zh-CN"/>
              </w:rPr>
              <w:t>.00</w:t>
            </w:r>
            <w:r>
              <w:rPr>
                <w:rFonts w:hint="eastAsia" w:ascii="宋体" w:hAnsi="宋体" w:eastAsia="宋体" w:cs="宋体"/>
                <w:i w:val="0"/>
                <w:iCs w:val="0"/>
                <w:color w:val="auto"/>
                <w:kern w:val="0"/>
                <w:sz w:val="21"/>
                <w:szCs w:val="21"/>
                <w:highlight w:val="none"/>
              </w:rPr>
              <w:t>分；</w:t>
            </w:r>
          </w:p>
          <w:p w14:paraId="716699A4">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2）投标人具有较完备的安全保密制度、制定数据安全保密措施的，基本满足本项目实施的得</w:t>
            </w:r>
            <w:r>
              <w:rPr>
                <w:rFonts w:hint="eastAsia" w:ascii="宋体" w:hAnsi="宋体" w:eastAsia="宋体" w:cs="宋体"/>
                <w:i w:val="0"/>
                <w:iCs w:val="0"/>
                <w:color w:val="auto"/>
                <w:kern w:val="0"/>
                <w:sz w:val="21"/>
                <w:szCs w:val="21"/>
                <w:highlight w:val="none"/>
                <w:lang w:val="en-US" w:eastAsia="zh-CN"/>
              </w:rPr>
              <w:t>8.00</w:t>
            </w:r>
            <w:r>
              <w:rPr>
                <w:rFonts w:hint="eastAsia" w:ascii="宋体" w:hAnsi="宋体" w:eastAsia="宋体" w:cs="宋体"/>
                <w:i w:val="0"/>
                <w:iCs w:val="0"/>
                <w:color w:val="auto"/>
                <w:kern w:val="0"/>
                <w:sz w:val="21"/>
                <w:szCs w:val="21"/>
                <w:highlight w:val="none"/>
              </w:rPr>
              <w:t>分；</w:t>
            </w:r>
          </w:p>
          <w:p w14:paraId="73F4349F">
            <w:pPr>
              <w:spacing w:line="360" w:lineRule="auto"/>
              <w:ind w:firstLine="420"/>
              <w:rPr>
                <w:rFonts w:hint="eastAsia" w:ascii="宋体" w:hAnsi="宋体" w:eastAsia="宋体" w:cs="宋体"/>
                <w:i w:val="0"/>
                <w:iCs w:val="0"/>
                <w:color w:val="auto"/>
                <w:kern w:val="0"/>
                <w:sz w:val="21"/>
                <w:szCs w:val="21"/>
                <w:highlight w:val="none"/>
                <w:lang w:eastAsia="zh-CN"/>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3）投标人具有基本的安全保密制度、制定了基础的数据安全保密措施，对项目实施影响较小的得</w:t>
            </w:r>
            <w:r>
              <w:rPr>
                <w:rFonts w:hint="eastAsia" w:ascii="宋体" w:hAnsi="宋体" w:eastAsia="宋体" w:cs="宋体"/>
                <w:i w:val="0"/>
                <w:iCs w:val="0"/>
                <w:color w:val="auto"/>
                <w:kern w:val="0"/>
                <w:sz w:val="21"/>
                <w:szCs w:val="21"/>
                <w:highlight w:val="none"/>
                <w:lang w:val="en-US" w:eastAsia="zh-CN"/>
              </w:rPr>
              <w:t>6</w:t>
            </w:r>
            <w:r>
              <w:rPr>
                <w:rFonts w:hint="eastAsia" w:ascii="宋体" w:hAnsi="宋体" w:eastAsia="宋体" w:cs="宋体"/>
                <w:i w:val="0"/>
                <w:iCs w:val="0"/>
                <w:color w:val="auto"/>
                <w:kern w:val="0"/>
                <w:sz w:val="21"/>
                <w:szCs w:val="21"/>
                <w:highlight w:val="none"/>
              </w:rPr>
              <w:t>.00分</w:t>
            </w:r>
            <w:r>
              <w:rPr>
                <w:rFonts w:hint="eastAsia" w:ascii="宋体" w:hAnsi="宋体" w:eastAsia="宋体" w:cs="宋体"/>
                <w:i w:val="0"/>
                <w:iCs w:val="0"/>
                <w:color w:val="auto"/>
                <w:kern w:val="0"/>
                <w:sz w:val="21"/>
                <w:szCs w:val="21"/>
                <w:highlight w:val="none"/>
                <w:lang w:eastAsia="zh-CN"/>
              </w:rPr>
              <w:t>；</w:t>
            </w:r>
          </w:p>
          <w:p w14:paraId="5BC29DF8">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lang w:val="en-US" w:eastAsia="zh-CN"/>
              </w:rPr>
              <w:t>4</w:t>
            </w: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投标人不具有完备的安全保密制度、制定数据安全保密措施的，不能满足本项目实施的得</w:t>
            </w:r>
            <w:r>
              <w:rPr>
                <w:rFonts w:hint="eastAsia" w:ascii="宋体" w:hAnsi="宋体" w:cs="宋体"/>
                <w:i w:val="0"/>
                <w:iCs w:val="0"/>
                <w:color w:val="auto"/>
                <w:kern w:val="0"/>
                <w:sz w:val="21"/>
                <w:szCs w:val="21"/>
                <w:highlight w:val="none"/>
                <w:lang w:val="en-US" w:eastAsia="zh-CN"/>
              </w:rPr>
              <w:t>4</w:t>
            </w:r>
            <w:r>
              <w:rPr>
                <w:rFonts w:hint="eastAsia" w:ascii="宋体" w:hAnsi="宋体" w:eastAsia="宋体" w:cs="宋体"/>
                <w:i w:val="0"/>
                <w:iCs w:val="0"/>
                <w:color w:val="auto"/>
                <w:kern w:val="0"/>
                <w:sz w:val="21"/>
                <w:szCs w:val="21"/>
                <w:highlight w:val="none"/>
                <w:lang w:val="en-US" w:eastAsia="zh-CN"/>
              </w:rPr>
              <w:t>.00</w:t>
            </w:r>
            <w:r>
              <w:rPr>
                <w:rFonts w:hint="eastAsia" w:ascii="宋体" w:hAnsi="宋体" w:eastAsia="宋体" w:cs="宋体"/>
                <w:i w:val="0"/>
                <w:iCs w:val="0"/>
                <w:color w:val="auto"/>
                <w:kern w:val="0"/>
                <w:sz w:val="21"/>
                <w:szCs w:val="21"/>
                <w:highlight w:val="none"/>
              </w:rPr>
              <w:t>分；</w:t>
            </w:r>
          </w:p>
          <w:p w14:paraId="2CE1EFBB">
            <w:pPr>
              <w:spacing w:line="360" w:lineRule="auto"/>
              <w:ind w:firstLine="420"/>
              <w:rPr>
                <w:rFonts w:hint="eastAsia" w:ascii="宋体" w:hAnsi="宋体" w:eastAsia="宋体" w:cs="宋体"/>
                <w:kern w:val="0"/>
                <w:sz w:val="21"/>
                <w:szCs w:val="21"/>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lang w:val="en-US" w:eastAsia="zh-CN"/>
              </w:rPr>
              <w:t>5</w:t>
            </w:r>
            <w:r>
              <w:rPr>
                <w:rFonts w:hint="eastAsia" w:ascii="宋体" w:hAnsi="宋体" w:eastAsia="宋体" w:cs="宋体"/>
                <w:i w:val="0"/>
                <w:iCs w:val="0"/>
                <w:color w:val="auto"/>
                <w:kern w:val="0"/>
                <w:sz w:val="21"/>
                <w:szCs w:val="21"/>
                <w:highlight w:val="none"/>
              </w:rPr>
              <w:t>）未体现的不得分。</w:t>
            </w:r>
          </w:p>
        </w:tc>
        <w:tc>
          <w:tcPr>
            <w:tcW w:w="702" w:type="dxa"/>
            <w:noWrap w:val="0"/>
            <w:vAlign w:val="center"/>
          </w:tcPr>
          <w:p w14:paraId="311B67E5">
            <w:pPr>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10</w:t>
            </w:r>
          </w:p>
        </w:tc>
      </w:tr>
      <w:tr w14:paraId="683AA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jc w:val="center"/>
        </w:trPr>
        <w:tc>
          <w:tcPr>
            <w:tcW w:w="1101" w:type="dxa"/>
            <w:vMerge w:val="restart"/>
            <w:noWrap w:val="0"/>
            <w:vAlign w:val="center"/>
          </w:tcPr>
          <w:p w14:paraId="25EEDF49">
            <w:pPr>
              <w:widowControl/>
              <w:shd w:val="clear" w:color="auto" w:fill="FFFFFF"/>
              <w:rPr>
                <w:rFonts w:hint="eastAsia" w:ascii="宋体" w:hAnsi="宋体" w:eastAsia="宋体" w:cs="宋体"/>
                <w:kern w:val="0"/>
                <w:sz w:val="21"/>
                <w:szCs w:val="21"/>
              </w:rPr>
            </w:pPr>
            <w:r>
              <w:rPr>
                <w:rFonts w:hint="eastAsia" w:ascii="宋体" w:hAnsi="宋体" w:eastAsia="宋体" w:cs="宋体"/>
                <w:kern w:val="0"/>
                <w:sz w:val="21"/>
                <w:szCs w:val="21"/>
              </w:rPr>
              <w:t>商务部分（</w:t>
            </w:r>
            <w:r>
              <w:rPr>
                <w:rFonts w:hint="eastAsia" w:ascii="宋体" w:hAnsi="宋体" w:eastAsia="宋体" w:cs="宋体"/>
                <w:kern w:val="0"/>
                <w:sz w:val="21"/>
                <w:szCs w:val="21"/>
                <w:lang w:val="en-US" w:eastAsia="zh-CN"/>
              </w:rPr>
              <w:t>24</w:t>
            </w:r>
            <w:r>
              <w:rPr>
                <w:rFonts w:hint="eastAsia" w:ascii="宋体" w:hAnsi="宋体" w:eastAsia="宋体" w:cs="宋体"/>
                <w:kern w:val="0"/>
                <w:sz w:val="21"/>
                <w:szCs w:val="21"/>
              </w:rPr>
              <w:t>分）</w:t>
            </w:r>
          </w:p>
        </w:tc>
        <w:tc>
          <w:tcPr>
            <w:tcW w:w="1115" w:type="dxa"/>
            <w:noWrap w:val="0"/>
            <w:vAlign w:val="center"/>
          </w:tcPr>
          <w:p w14:paraId="673B7261">
            <w:pPr>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企业资信</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3分</w:t>
            </w:r>
            <w:r>
              <w:rPr>
                <w:rFonts w:hint="eastAsia" w:ascii="宋体" w:hAnsi="宋体" w:eastAsia="宋体" w:cs="宋体"/>
                <w:kern w:val="0"/>
                <w:sz w:val="21"/>
                <w:szCs w:val="21"/>
                <w:lang w:eastAsia="zh-CN"/>
              </w:rPr>
              <w:t>）</w:t>
            </w:r>
          </w:p>
        </w:tc>
        <w:tc>
          <w:tcPr>
            <w:tcW w:w="6528" w:type="dxa"/>
            <w:noWrap w:val="0"/>
            <w:vAlign w:val="center"/>
          </w:tcPr>
          <w:p w14:paraId="0040E9C0">
            <w:pPr>
              <w:spacing w:line="360" w:lineRule="auto"/>
              <w:ind w:firstLine="420" w:firstLineChars="200"/>
              <w:jc w:val="left"/>
              <w:rPr>
                <w:rFonts w:hint="eastAsia" w:ascii="宋体" w:hAnsi="宋体" w:eastAsia="宋体" w:cs="宋体"/>
                <w:b w:val="0"/>
                <w:bCs w:val="0"/>
                <w:i w:val="0"/>
                <w:iCs w:val="0"/>
                <w:color w:val="auto"/>
                <w:kern w:val="0"/>
                <w:sz w:val="21"/>
                <w:szCs w:val="21"/>
                <w:highlight w:val="none"/>
              </w:rPr>
            </w:pPr>
            <w:r>
              <w:rPr>
                <w:rFonts w:hint="eastAsia" w:ascii="宋体" w:hAnsi="宋体" w:eastAsia="宋体" w:cs="宋体"/>
                <w:b w:val="0"/>
                <w:bCs w:val="0"/>
                <w:i w:val="0"/>
                <w:iCs w:val="0"/>
                <w:color w:val="auto"/>
                <w:kern w:val="0"/>
                <w:sz w:val="21"/>
                <w:szCs w:val="21"/>
                <w:highlight w:val="none"/>
              </w:rPr>
              <w:t>投标供应商具有有效期内的质量管理体系认证证书、环境管理体系认证证书、职业健康安全管理体系证书，每提供一个得</w:t>
            </w:r>
            <w:r>
              <w:rPr>
                <w:rFonts w:hint="eastAsia" w:ascii="宋体" w:hAnsi="宋体" w:eastAsia="宋体" w:cs="宋体"/>
                <w:b w:val="0"/>
                <w:bCs w:val="0"/>
                <w:i w:val="0"/>
                <w:iCs w:val="0"/>
                <w:color w:val="auto"/>
                <w:kern w:val="0"/>
                <w:sz w:val="21"/>
                <w:szCs w:val="21"/>
                <w:highlight w:val="none"/>
                <w:lang w:val="en-US" w:eastAsia="zh-CN"/>
              </w:rPr>
              <w:t>1</w:t>
            </w:r>
            <w:r>
              <w:rPr>
                <w:rFonts w:hint="eastAsia" w:ascii="宋体" w:hAnsi="宋体" w:eastAsia="宋体" w:cs="宋体"/>
                <w:b w:val="0"/>
                <w:bCs w:val="0"/>
                <w:i w:val="0"/>
                <w:iCs w:val="0"/>
                <w:color w:val="auto"/>
                <w:kern w:val="0"/>
                <w:sz w:val="21"/>
                <w:szCs w:val="21"/>
                <w:highlight w:val="none"/>
              </w:rPr>
              <w:t>分，最高得</w:t>
            </w:r>
            <w:r>
              <w:rPr>
                <w:rFonts w:hint="eastAsia" w:ascii="宋体" w:hAnsi="宋体" w:cs="宋体"/>
                <w:b w:val="0"/>
                <w:bCs w:val="0"/>
                <w:i w:val="0"/>
                <w:iCs w:val="0"/>
                <w:color w:val="auto"/>
                <w:kern w:val="0"/>
                <w:sz w:val="21"/>
                <w:szCs w:val="21"/>
                <w:highlight w:val="none"/>
                <w:lang w:val="en-US" w:eastAsia="zh-CN"/>
              </w:rPr>
              <w:t>3</w:t>
            </w:r>
            <w:r>
              <w:rPr>
                <w:rFonts w:hint="eastAsia" w:ascii="宋体" w:hAnsi="宋体" w:eastAsia="宋体" w:cs="宋体"/>
                <w:b w:val="0"/>
                <w:bCs w:val="0"/>
                <w:i w:val="0"/>
                <w:iCs w:val="0"/>
                <w:color w:val="auto"/>
                <w:kern w:val="0"/>
                <w:sz w:val="21"/>
                <w:szCs w:val="21"/>
                <w:highlight w:val="none"/>
              </w:rPr>
              <w:t>分</w:t>
            </w:r>
            <w:r>
              <w:rPr>
                <w:rFonts w:hint="eastAsia" w:ascii="宋体" w:hAnsi="宋体" w:eastAsia="宋体" w:cs="宋体"/>
                <w:b w:val="0"/>
                <w:bCs w:val="0"/>
                <w:i w:val="0"/>
                <w:iCs w:val="0"/>
                <w:color w:val="auto"/>
                <w:kern w:val="0"/>
                <w:sz w:val="21"/>
                <w:szCs w:val="21"/>
                <w:highlight w:val="none"/>
                <w:lang w:eastAsia="zh-CN"/>
              </w:rPr>
              <w:t>，提供不全或</w:t>
            </w:r>
            <w:r>
              <w:rPr>
                <w:rFonts w:hint="eastAsia" w:ascii="宋体" w:hAnsi="宋体" w:eastAsia="宋体" w:cs="宋体"/>
                <w:b w:val="0"/>
                <w:bCs w:val="0"/>
                <w:i w:val="0"/>
                <w:iCs w:val="0"/>
                <w:color w:val="auto"/>
                <w:kern w:val="0"/>
                <w:sz w:val="21"/>
                <w:szCs w:val="21"/>
                <w:highlight w:val="none"/>
              </w:rPr>
              <w:t>未提供的不得分。</w:t>
            </w:r>
          </w:p>
          <w:p w14:paraId="59BF9E5E">
            <w:pPr>
              <w:spacing w:line="360" w:lineRule="auto"/>
              <w:ind w:firstLine="420" w:firstLineChars="200"/>
              <w:jc w:val="left"/>
              <w:rPr>
                <w:rFonts w:hint="eastAsia" w:ascii="宋体" w:hAnsi="宋体" w:eastAsia="宋体" w:cs="宋体"/>
                <w:kern w:val="0"/>
                <w:sz w:val="21"/>
                <w:szCs w:val="21"/>
                <w:lang w:eastAsia="zh-CN"/>
              </w:rPr>
            </w:pPr>
            <w:r>
              <w:rPr>
                <w:rFonts w:hint="eastAsia" w:ascii="宋体" w:hAnsi="宋体" w:eastAsia="宋体" w:cs="宋体"/>
                <w:b w:val="0"/>
                <w:bCs w:val="0"/>
                <w:i w:val="0"/>
                <w:iCs w:val="0"/>
                <w:color w:val="auto"/>
                <w:kern w:val="0"/>
                <w:sz w:val="21"/>
                <w:szCs w:val="21"/>
                <w:highlight w:val="none"/>
              </w:rPr>
              <w:t>注：</w:t>
            </w:r>
            <w:r>
              <w:rPr>
                <w:rFonts w:hint="eastAsia" w:ascii="宋体" w:hAnsi="宋体" w:eastAsia="宋体" w:cs="宋体"/>
                <w:b w:val="0"/>
                <w:bCs w:val="0"/>
                <w:i w:val="0"/>
                <w:iCs w:val="0"/>
                <w:color w:val="auto"/>
                <w:kern w:val="0"/>
                <w:sz w:val="21"/>
                <w:szCs w:val="21"/>
                <w:highlight w:val="none"/>
                <w:lang w:val="en-US" w:eastAsia="zh-CN"/>
              </w:rPr>
              <w:t>投标时须提供国务院认证认可监督管理部门批准的认证机构出具的认证证书</w:t>
            </w:r>
            <w:r>
              <w:rPr>
                <w:rFonts w:hint="eastAsia" w:ascii="宋体" w:hAnsi="宋体" w:cs="宋体"/>
                <w:b w:val="0"/>
                <w:bCs w:val="0"/>
                <w:i w:val="0"/>
                <w:iCs w:val="0"/>
                <w:color w:val="auto"/>
                <w:kern w:val="0"/>
                <w:sz w:val="21"/>
                <w:szCs w:val="21"/>
                <w:highlight w:val="none"/>
                <w:lang w:val="en-US" w:eastAsia="zh-CN"/>
              </w:rPr>
              <w:t>的复印件</w:t>
            </w:r>
            <w:r>
              <w:rPr>
                <w:rFonts w:hint="eastAsia" w:ascii="宋体" w:hAnsi="宋体" w:eastAsia="宋体" w:cs="宋体"/>
                <w:b w:val="0"/>
                <w:bCs w:val="0"/>
                <w:i w:val="0"/>
                <w:iCs w:val="0"/>
                <w:color w:val="auto"/>
                <w:kern w:val="0"/>
                <w:sz w:val="21"/>
                <w:szCs w:val="21"/>
                <w:highlight w:val="none"/>
                <w:lang w:val="en-US" w:eastAsia="zh-CN"/>
              </w:rPr>
              <w:t>及“全国认证认可信息公共服务平台(http://cx.cnca.cn)”网上查询结果截图供查询验证，查询结果中证书状态须为“有效”，未按要求提供或无效的不得分。</w:t>
            </w:r>
          </w:p>
        </w:tc>
        <w:tc>
          <w:tcPr>
            <w:tcW w:w="702" w:type="dxa"/>
            <w:noWrap w:val="0"/>
            <w:vAlign w:val="center"/>
          </w:tcPr>
          <w:p w14:paraId="215ACC3E">
            <w:pPr>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w:t>
            </w:r>
          </w:p>
        </w:tc>
      </w:tr>
      <w:tr w14:paraId="2A1B1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jc w:val="center"/>
        </w:trPr>
        <w:tc>
          <w:tcPr>
            <w:tcW w:w="1101" w:type="dxa"/>
            <w:vMerge w:val="continue"/>
            <w:noWrap w:val="0"/>
            <w:vAlign w:val="center"/>
          </w:tcPr>
          <w:p w14:paraId="3D54A680">
            <w:pPr>
              <w:widowControl/>
              <w:shd w:val="clear" w:color="auto" w:fill="FFFFFF"/>
              <w:ind w:firstLine="420"/>
              <w:jc w:val="center"/>
              <w:rPr>
                <w:rFonts w:hint="eastAsia" w:ascii="宋体" w:hAnsi="宋体" w:eastAsia="宋体" w:cs="宋体"/>
                <w:kern w:val="0"/>
                <w:sz w:val="21"/>
                <w:szCs w:val="21"/>
              </w:rPr>
            </w:pPr>
          </w:p>
        </w:tc>
        <w:tc>
          <w:tcPr>
            <w:tcW w:w="1115" w:type="dxa"/>
            <w:noWrap w:val="0"/>
            <w:vAlign w:val="center"/>
          </w:tcPr>
          <w:p w14:paraId="661E6E61">
            <w:pPr>
              <w:jc w:val="center"/>
              <w:rPr>
                <w:rFonts w:hint="eastAsia" w:ascii="宋体" w:hAnsi="宋体" w:eastAsia="宋体" w:cs="宋体"/>
                <w:b/>
                <w:kern w:val="0"/>
                <w:sz w:val="21"/>
                <w:szCs w:val="21"/>
              </w:rPr>
            </w:pPr>
            <w:r>
              <w:rPr>
                <w:rFonts w:hint="eastAsia" w:ascii="宋体" w:hAnsi="宋体" w:eastAsia="宋体" w:cs="宋体"/>
                <w:kern w:val="0"/>
                <w:sz w:val="21"/>
                <w:szCs w:val="21"/>
              </w:rPr>
              <w:t>业绩</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4分</w:t>
            </w:r>
            <w:r>
              <w:rPr>
                <w:rFonts w:hint="eastAsia" w:ascii="宋体" w:hAnsi="宋体" w:eastAsia="宋体" w:cs="宋体"/>
                <w:kern w:val="0"/>
                <w:sz w:val="21"/>
                <w:szCs w:val="21"/>
                <w:lang w:eastAsia="zh-CN"/>
              </w:rPr>
              <w:t>）</w:t>
            </w:r>
          </w:p>
        </w:tc>
        <w:tc>
          <w:tcPr>
            <w:tcW w:w="6528" w:type="dxa"/>
            <w:noWrap w:val="0"/>
            <w:vAlign w:val="center"/>
          </w:tcPr>
          <w:p w14:paraId="0DB48555">
            <w:pPr>
              <w:spacing w:line="360" w:lineRule="auto"/>
              <w:ind w:firstLine="420" w:firstLineChars="200"/>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rPr>
              <w:t>投标供应商</w:t>
            </w:r>
            <w:r>
              <w:rPr>
                <w:rFonts w:hint="eastAsia" w:ascii="宋体" w:hAnsi="宋体" w:eastAsia="宋体" w:cs="宋体"/>
                <w:i w:val="0"/>
                <w:iCs w:val="0"/>
                <w:color w:val="auto"/>
                <w:kern w:val="0"/>
                <w:sz w:val="21"/>
                <w:szCs w:val="21"/>
                <w:highlight w:val="none"/>
                <w:lang w:val="ru-RU"/>
              </w:rPr>
              <w:t>20</w:t>
            </w:r>
            <w:r>
              <w:rPr>
                <w:rFonts w:hint="eastAsia" w:ascii="宋体" w:hAnsi="宋体" w:eastAsia="宋体" w:cs="宋体"/>
                <w:i w:val="0"/>
                <w:iCs w:val="0"/>
                <w:color w:val="auto"/>
                <w:kern w:val="0"/>
                <w:sz w:val="21"/>
                <w:szCs w:val="21"/>
                <w:highlight w:val="none"/>
                <w:lang w:val="en-US" w:eastAsia="zh-CN"/>
              </w:rPr>
              <w:t>21</w:t>
            </w:r>
            <w:r>
              <w:rPr>
                <w:rFonts w:hint="eastAsia" w:ascii="宋体" w:hAnsi="宋体" w:eastAsia="宋体" w:cs="宋体"/>
                <w:i w:val="0"/>
                <w:iCs w:val="0"/>
                <w:color w:val="auto"/>
                <w:kern w:val="0"/>
                <w:sz w:val="21"/>
                <w:szCs w:val="21"/>
                <w:highlight w:val="none"/>
                <w:lang w:val="ru-RU"/>
              </w:rPr>
              <w:t>年1月1日至今</w:t>
            </w:r>
            <w:r>
              <w:rPr>
                <w:rFonts w:hint="eastAsia" w:ascii="宋体" w:hAnsi="宋体" w:eastAsia="宋体" w:cs="宋体"/>
                <w:i w:val="0"/>
                <w:iCs w:val="0"/>
                <w:color w:val="auto"/>
                <w:kern w:val="0"/>
                <w:sz w:val="21"/>
                <w:szCs w:val="21"/>
                <w:highlight w:val="none"/>
                <w:lang w:val="ru-RU" w:eastAsia="zh-CN"/>
              </w:rPr>
              <w:t>（</w:t>
            </w:r>
            <w:r>
              <w:rPr>
                <w:rFonts w:hint="eastAsia" w:ascii="宋体" w:hAnsi="宋体" w:eastAsia="宋体" w:cs="宋体"/>
                <w:i w:val="0"/>
                <w:iCs w:val="0"/>
                <w:color w:val="auto"/>
                <w:kern w:val="0"/>
                <w:sz w:val="21"/>
                <w:szCs w:val="21"/>
                <w:highlight w:val="none"/>
              </w:rPr>
              <w:t>以合同签订时间为准</w:t>
            </w:r>
            <w:r>
              <w:rPr>
                <w:rFonts w:hint="eastAsia" w:ascii="宋体" w:hAnsi="宋体" w:eastAsia="宋体" w:cs="宋体"/>
                <w:i w:val="0"/>
                <w:iCs w:val="0"/>
                <w:color w:val="auto"/>
                <w:kern w:val="0"/>
                <w:sz w:val="21"/>
                <w:szCs w:val="21"/>
                <w:highlight w:val="none"/>
                <w:lang w:val="ru-RU" w:eastAsia="zh-CN"/>
              </w:rPr>
              <w:t>）</w:t>
            </w:r>
            <w:r>
              <w:rPr>
                <w:rFonts w:hint="eastAsia" w:ascii="宋体" w:hAnsi="宋体" w:eastAsia="宋体" w:cs="宋体"/>
                <w:i w:val="0"/>
                <w:iCs w:val="0"/>
                <w:color w:val="auto"/>
                <w:kern w:val="0"/>
                <w:sz w:val="21"/>
                <w:szCs w:val="21"/>
                <w:highlight w:val="none"/>
                <w:lang w:val="ru-RU"/>
              </w:rPr>
              <w:t>，</w:t>
            </w:r>
            <w:r>
              <w:rPr>
                <w:rFonts w:hint="eastAsia" w:ascii="宋体" w:hAnsi="宋体" w:eastAsia="宋体" w:cs="宋体"/>
                <w:i w:val="0"/>
                <w:iCs w:val="0"/>
                <w:color w:val="auto"/>
                <w:kern w:val="0"/>
                <w:sz w:val="21"/>
                <w:szCs w:val="21"/>
                <w:highlight w:val="none"/>
                <w:lang w:val="en-US" w:eastAsia="zh-CN"/>
              </w:rPr>
              <w:t>承担</w:t>
            </w:r>
            <w:r>
              <w:rPr>
                <w:rFonts w:hint="eastAsia" w:ascii="宋体" w:hAnsi="宋体" w:eastAsia="宋体" w:cs="宋体"/>
                <w:i w:val="0"/>
                <w:iCs w:val="0"/>
                <w:color w:val="auto"/>
                <w:kern w:val="0"/>
                <w:sz w:val="21"/>
                <w:szCs w:val="21"/>
                <w:highlight w:val="none"/>
                <w:lang w:val="ru-RU"/>
              </w:rPr>
              <w:t>过</w:t>
            </w:r>
            <w:r>
              <w:rPr>
                <w:rFonts w:hint="eastAsia" w:ascii="宋体" w:hAnsi="宋体" w:eastAsia="宋体" w:cs="宋体"/>
                <w:i w:val="0"/>
                <w:iCs w:val="0"/>
                <w:color w:val="auto"/>
                <w:kern w:val="0"/>
                <w:sz w:val="21"/>
                <w:szCs w:val="21"/>
                <w:highlight w:val="none"/>
                <w:lang w:val="en-US" w:eastAsia="zh-CN"/>
              </w:rPr>
              <w:t>类似土地延包确权登记或农村土地承包经营权确权登记，</w:t>
            </w:r>
            <w:r>
              <w:rPr>
                <w:rFonts w:hint="eastAsia" w:ascii="宋体" w:hAnsi="宋体" w:eastAsia="宋体" w:cs="宋体"/>
                <w:i w:val="0"/>
                <w:iCs w:val="0"/>
                <w:color w:val="auto"/>
                <w:kern w:val="0"/>
                <w:sz w:val="21"/>
                <w:szCs w:val="21"/>
                <w:highlight w:val="none"/>
                <w:lang w:val="ru-RU"/>
              </w:rPr>
              <w:t>每有1</w:t>
            </w:r>
            <w:r>
              <w:rPr>
                <w:rFonts w:hint="eastAsia" w:ascii="宋体" w:hAnsi="宋体" w:eastAsia="宋体" w:cs="宋体"/>
                <w:i w:val="0"/>
                <w:iCs w:val="0"/>
                <w:color w:val="auto"/>
                <w:kern w:val="0"/>
                <w:sz w:val="21"/>
                <w:szCs w:val="21"/>
                <w:highlight w:val="none"/>
                <w:lang w:val="en-US" w:eastAsia="zh-CN"/>
              </w:rPr>
              <w:t>个</w:t>
            </w:r>
            <w:r>
              <w:rPr>
                <w:rFonts w:hint="eastAsia" w:ascii="宋体" w:hAnsi="宋体" w:eastAsia="宋体" w:cs="宋体"/>
                <w:i w:val="0"/>
                <w:iCs w:val="0"/>
                <w:color w:val="auto"/>
                <w:kern w:val="0"/>
                <w:sz w:val="21"/>
                <w:szCs w:val="21"/>
                <w:highlight w:val="none"/>
                <w:lang w:val="ru-RU"/>
              </w:rPr>
              <w:t>得</w:t>
            </w:r>
            <w:r>
              <w:rPr>
                <w:rFonts w:hint="eastAsia" w:ascii="宋体" w:hAnsi="宋体" w:cs="宋体"/>
                <w:i w:val="0"/>
                <w:iCs w:val="0"/>
                <w:color w:val="auto"/>
                <w:kern w:val="0"/>
                <w:sz w:val="21"/>
                <w:szCs w:val="21"/>
                <w:highlight w:val="none"/>
                <w:lang w:val="en-US" w:eastAsia="zh-CN"/>
              </w:rPr>
              <w:t>2</w:t>
            </w:r>
            <w:r>
              <w:rPr>
                <w:rFonts w:hint="eastAsia" w:ascii="宋体" w:hAnsi="宋体" w:eastAsia="宋体" w:cs="宋体"/>
                <w:i w:val="0"/>
                <w:iCs w:val="0"/>
                <w:color w:val="auto"/>
                <w:kern w:val="0"/>
                <w:sz w:val="21"/>
                <w:szCs w:val="21"/>
                <w:highlight w:val="none"/>
                <w:lang w:val="ru-RU"/>
              </w:rPr>
              <w:t>分，最高得</w:t>
            </w:r>
            <w:r>
              <w:rPr>
                <w:rFonts w:hint="eastAsia" w:ascii="宋体" w:hAnsi="宋体" w:cs="宋体"/>
                <w:i w:val="0"/>
                <w:iCs w:val="0"/>
                <w:color w:val="auto"/>
                <w:kern w:val="0"/>
                <w:sz w:val="21"/>
                <w:szCs w:val="21"/>
                <w:highlight w:val="none"/>
                <w:lang w:val="en-US" w:eastAsia="zh-CN"/>
              </w:rPr>
              <w:t>4</w:t>
            </w:r>
            <w:r>
              <w:rPr>
                <w:rFonts w:hint="eastAsia" w:ascii="宋体" w:hAnsi="宋体" w:eastAsia="宋体" w:cs="宋体"/>
                <w:i w:val="0"/>
                <w:iCs w:val="0"/>
                <w:color w:val="auto"/>
                <w:kern w:val="0"/>
                <w:sz w:val="21"/>
                <w:szCs w:val="21"/>
                <w:highlight w:val="none"/>
                <w:lang w:val="ru-RU"/>
              </w:rPr>
              <w:t>分</w:t>
            </w:r>
            <w:r>
              <w:rPr>
                <w:rFonts w:hint="eastAsia" w:ascii="宋体" w:hAnsi="宋体" w:eastAsia="宋体" w:cs="宋体"/>
                <w:i w:val="0"/>
                <w:iCs w:val="0"/>
                <w:color w:val="auto"/>
                <w:kern w:val="0"/>
                <w:sz w:val="21"/>
                <w:szCs w:val="21"/>
                <w:highlight w:val="none"/>
                <w:lang w:val="en-US" w:eastAsia="zh-CN"/>
              </w:rPr>
              <w:t>。</w:t>
            </w:r>
          </w:p>
          <w:p w14:paraId="6800E37E">
            <w:pPr>
              <w:spacing w:line="360" w:lineRule="auto"/>
              <w:ind w:firstLine="420" w:firstLineChars="200"/>
              <w:rPr>
                <w:rFonts w:hint="eastAsia" w:ascii="宋体" w:hAnsi="宋体" w:eastAsia="宋体" w:cs="宋体"/>
                <w:kern w:val="0"/>
                <w:sz w:val="21"/>
                <w:szCs w:val="21"/>
                <w:highlight w:val="yellow"/>
              </w:rPr>
            </w:pPr>
            <w:r>
              <w:rPr>
                <w:rFonts w:hint="eastAsia" w:ascii="宋体" w:hAnsi="宋体" w:eastAsia="宋体" w:cs="宋体"/>
                <w:i w:val="0"/>
                <w:iCs w:val="0"/>
                <w:color w:val="auto"/>
                <w:kern w:val="0"/>
                <w:sz w:val="21"/>
                <w:szCs w:val="21"/>
                <w:highlight w:val="none"/>
                <w:lang w:val="en-US" w:eastAsia="zh-CN"/>
              </w:rPr>
              <w:t>注：提供合同</w:t>
            </w:r>
            <w:r>
              <w:rPr>
                <w:rFonts w:hint="eastAsia" w:ascii="宋体" w:hAnsi="宋体" w:cs="宋体"/>
                <w:i w:val="0"/>
                <w:iCs w:val="0"/>
                <w:color w:val="auto"/>
                <w:kern w:val="0"/>
                <w:sz w:val="21"/>
                <w:szCs w:val="21"/>
                <w:highlight w:val="none"/>
                <w:lang w:val="en-US" w:eastAsia="zh-CN"/>
              </w:rPr>
              <w:t>扫描件</w:t>
            </w:r>
            <w:r>
              <w:rPr>
                <w:rFonts w:hint="eastAsia" w:ascii="宋体" w:hAnsi="宋体" w:eastAsia="宋体" w:cs="宋体"/>
                <w:i w:val="0"/>
                <w:iCs w:val="0"/>
                <w:color w:val="auto"/>
                <w:kern w:val="0"/>
                <w:sz w:val="21"/>
                <w:szCs w:val="21"/>
                <w:highlight w:val="none"/>
                <w:lang w:val="en-US" w:eastAsia="zh-CN"/>
              </w:rPr>
              <w:t>，</w:t>
            </w:r>
            <w:r>
              <w:rPr>
                <w:rFonts w:hint="eastAsia" w:ascii="宋体" w:hAnsi="宋体" w:eastAsia="宋体" w:cs="宋体"/>
                <w:i w:val="0"/>
                <w:iCs w:val="0"/>
                <w:color w:val="auto"/>
                <w:kern w:val="0"/>
                <w:sz w:val="21"/>
                <w:szCs w:val="21"/>
                <w:highlight w:val="none"/>
              </w:rPr>
              <w:t>未提供或未按要求提供的均不得分。</w:t>
            </w:r>
          </w:p>
        </w:tc>
        <w:tc>
          <w:tcPr>
            <w:tcW w:w="702" w:type="dxa"/>
            <w:noWrap w:val="0"/>
            <w:vAlign w:val="center"/>
          </w:tcPr>
          <w:p w14:paraId="7C5BA1E5">
            <w:pPr>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4</w:t>
            </w:r>
          </w:p>
        </w:tc>
      </w:tr>
      <w:tr w14:paraId="2A89A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1" w:type="dxa"/>
            <w:vMerge w:val="continue"/>
            <w:noWrap w:val="0"/>
            <w:vAlign w:val="center"/>
          </w:tcPr>
          <w:p w14:paraId="4D136100">
            <w:pPr>
              <w:widowControl/>
              <w:shd w:val="clear" w:color="auto" w:fill="FFFFFF"/>
              <w:ind w:firstLine="420"/>
              <w:jc w:val="center"/>
              <w:rPr>
                <w:rFonts w:hint="eastAsia" w:ascii="宋体" w:hAnsi="宋体" w:eastAsia="宋体" w:cs="宋体"/>
                <w:kern w:val="0"/>
                <w:sz w:val="21"/>
                <w:szCs w:val="21"/>
              </w:rPr>
            </w:pPr>
          </w:p>
        </w:tc>
        <w:tc>
          <w:tcPr>
            <w:tcW w:w="1115" w:type="dxa"/>
            <w:noWrap w:val="0"/>
            <w:vAlign w:val="center"/>
          </w:tcPr>
          <w:p w14:paraId="7A0EBC82">
            <w:pPr>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团队</w:t>
            </w:r>
            <w:r>
              <w:rPr>
                <w:rFonts w:hint="eastAsia" w:ascii="宋体" w:hAnsi="宋体" w:eastAsia="宋体" w:cs="宋体"/>
                <w:kern w:val="0"/>
                <w:sz w:val="21"/>
                <w:szCs w:val="21"/>
              </w:rPr>
              <w:t>人员</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16分</w:t>
            </w:r>
            <w:r>
              <w:rPr>
                <w:rFonts w:hint="eastAsia" w:ascii="宋体" w:hAnsi="宋体" w:eastAsia="宋体" w:cs="宋体"/>
                <w:kern w:val="0"/>
                <w:sz w:val="21"/>
                <w:szCs w:val="21"/>
                <w:lang w:eastAsia="zh-CN"/>
              </w:rPr>
              <w:t>）</w:t>
            </w:r>
          </w:p>
        </w:tc>
        <w:tc>
          <w:tcPr>
            <w:tcW w:w="6528" w:type="dxa"/>
            <w:noWrap w:val="0"/>
            <w:vAlign w:val="center"/>
          </w:tcPr>
          <w:p w14:paraId="4A9FA9AC">
            <w:pPr>
              <w:numPr>
                <w:ilvl w:val="0"/>
                <w:numId w:val="0"/>
              </w:numPr>
              <w:spacing w:line="360" w:lineRule="auto"/>
              <w:ind w:firstLine="420" w:firstLineChars="200"/>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lang w:val="en-US" w:eastAsia="zh-CN" w:bidi="ar-SA"/>
              </w:rPr>
              <w:t>1、</w:t>
            </w:r>
            <w:r>
              <w:rPr>
                <w:rFonts w:hint="eastAsia" w:ascii="宋体" w:hAnsi="宋体" w:eastAsia="宋体" w:cs="宋体"/>
                <w:i w:val="0"/>
                <w:iCs w:val="0"/>
                <w:color w:val="auto"/>
                <w:kern w:val="0"/>
                <w:sz w:val="21"/>
                <w:szCs w:val="21"/>
                <w:highlight w:val="none"/>
                <w:lang w:val="en-US" w:eastAsia="zh-CN"/>
              </w:rPr>
              <w:t>项目负责人具有测绘类或土地类中级工程师职称证书的，得 2 分；具有测绘类或土地类副高级工程师职称证书的，得 3分；具有测绘类或土地类正高级工程师职称证书的，得 4分；最高得 4 分。</w:t>
            </w:r>
          </w:p>
          <w:p w14:paraId="43B3487A">
            <w:pPr>
              <w:widowControl w:val="0"/>
              <w:numPr>
                <w:ilvl w:val="0"/>
                <w:numId w:val="0"/>
              </w:numPr>
              <w:spacing w:line="360" w:lineRule="auto"/>
              <w:ind w:firstLine="420" w:firstLineChars="200"/>
              <w:jc w:val="both"/>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lang w:val="en-US" w:eastAsia="zh-CN"/>
              </w:rPr>
              <w:t>2、项目组成员中（除项目负责人外），具有档案类中级及以上职称的得2分；</w:t>
            </w:r>
          </w:p>
          <w:p w14:paraId="78FBB017">
            <w:pPr>
              <w:spacing w:line="360" w:lineRule="auto"/>
              <w:ind w:firstLine="420" w:firstLineChars="200"/>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lang w:val="en-US" w:eastAsia="zh-CN"/>
              </w:rPr>
              <w:t>3、项目组成员中（除项目负责人外），每有一名具有测绘类或土地类中级及以上职称的得1.25分，本项最高得10分（一标段）；每有一名具有测绘类或土地类中级及以上职称的得1分，本项最高得10分（二标段）；</w:t>
            </w:r>
          </w:p>
          <w:p w14:paraId="7ADD88A3">
            <w:pPr>
              <w:spacing w:line="360" w:lineRule="auto"/>
              <w:ind w:firstLine="420" w:firstLineChars="200"/>
              <w:rPr>
                <w:rFonts w:hint="eastAsia" w:ascii="宋体" w:hAnsi="宋体" w:eastAsia="宋体" w:cs="宋体"/>
                <w:color w:val="auto"/>
                <w:sz w:val="21"/>
                <w:szCs w:val="21"/>
                <w:highlight w:val="yellow"/>
                <w:lang w:val="en-US" w:eastAsia="zh-CN" w:bidi="ar-SA"/>
              </w:rPr>
            </w:pPr>
            <w:r>
              <w:rPr>
                <w:rFonts w:hint="eastAsia" w:ascii="宋体" w:hAnsi="宋体" w:eastAsia="宋体" w:cs="宋体"/>
                <w:i w:val="0"/>
                <w:iCs w:val="0"/>
                <w:color w:val="auto"/>
                <w:kern w:val="0"/>
                <w:sz w:val="21"/>
                <w:szCs w:val="21"/>
                <w:highlight w:val="none"/>
                <w:lang w:val="en-US" w:eastAsia="zh-CN"/>
              </w:rPr>
              <w:t>注： （1）乡镇职称不予认可；（2）项目组成员一人一岗，证书不重复加分；（3）以上人员须提供社保部门出具的（2026 年 1月（含 1月）至投标截止之日）连续 3 个月的社会保险证明扫描件。以上人员要求的相关证书等证明材料，未提供或未按要求提供的，均不得分。</w:t>
            </w:r>
          </w:p>
        </w:tc>
        <w:tc>
          <w:tcPr>
            <w:tcW w:w="702" w:type="dxa"/>
            <w:noWrap w:val="0"/>
            <w:vAlign w:val="center"/>
          </w:tcPr>
          <w:p w14:paraId="7FB08C2B">
            <w:pPr>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16</w:t>
            </w:r>
          </w:p>
        </w:tc>
      </w:tr>
      <w:tr w14:paraId="0DB6C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101" w:type="dxa"/>
            <w:vMerge w:val="continue"/>
            <w:noWrap w:val="0"/>
            <w:vAlign w:val="center"/>
          </w:tcPr>
          <w:p w14:paraId="0CCDDB0A">
            <w:pPr>
              <w:widowControl/>
              <w:shd w:val="clear" w:color="auto" w:fill="FFFFFF"/>
              <w:jc w:val="center"/>
              <w:rPr>
                <w:rFonts w:hint="eastAsia" w:ascii="宋体" w:hAnsi="宋体" w:eastAsia="宋体" w:cs="宋体"/>
                <w:kern w:val="0"/>
                <w:sz w:val="21"/>
                <w:szCs w:val="21"/>
                <w:lang w:eastAsia="zh-CN"/>
              </w:rPr>
            </w:pPr>
          </w:p>
        </w:tc>
        <w:tc>
          <w:tcPr>
            <w:tcW w:w="1115" w:type="dxa"/>
            <w:noWrap w:val="0"/>
            <w:vAlign w:val="center"/>
          </w:tcPr>
          <w:p w14:paraId="647B42F1">
            <w:pPr>
              <w:jc w:val="center"/>
              <w:rPr>
                <w:rFonts w:hint="eastAsia" w:ascii="宋体" w:hAnsi="宋体" w:eastAsia="宋体" w:cs="宋体"/>
                <w:kern w:val="0"/>
                <w:sz w:val="21"/>
                <w:szCs w:val="21"/>
                <w:lang w:val="en-US" w:eastAsia="zh-CN"/>
              </w:rPr>
            </w:pPr>
            <w:r>
              <w:rPr>
                <w:rFonts w:hint="eastAsia" w:ascii="宋体" w:hAnsi="宋体" w:eastAsia="宋体" w:cs="宋体"/>
                <w:i w:val="0"/>
                <w:iCs w:val="0"/>
                <w:color w:val="auto"/>
                <w:kern w:val="0"/>
                <w:sz w:val="21"/>
                <w:szCs w:val="21"/>
                <w:highlight w:val="none"/>
                <w:lang w:val="en-US" w:eastAsia="zh-CN"/>
              </w:rPr>
              <w:t>承诺函（1分）</w:t>
            </w:r>
          </w:p>
        </w:tc>
        <w:tc>
          <w:tcPr>
            <w:tcW w:w="6528" w:type="dxa"/>
            <w:noWrap w:val="0"/>
            <w:vAlign w:val="center"/>
          </w:tcPr>
          <w:p w14:paraId="045963F0">
            <w:pPr>
              <w:spacing w:line="360" w:lineRule="auto"/>
              <w:ind w:firstLine="420" w:firstLineChars="200"/>
              <w:jc w:val="both"/>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rPr>
              <w:t>投标供应商</w:t>
            </w:r>
            <w:r>
              <w:rPr>
                <w:rFonts w:hint="eastAsia" w:ascii="宋体" w:hAnsi="宋体" w:eastAsia="宋体" w:cs="宋体"/>
                <w:i w:val="0"/>
                <w:iCs w:val="0"/>
                <w:color w:val="auto"/>
                <w:kern w:val="0"/>
                <w:sz w:val="21"/>
                <w:szCs w:val="21"/>
                <w:highlight w:val="none"/>
                <w:lang w:val="en-US" w:eastAsia="zh-CN"/>
              </w:rPr>
              <w:t>出具项目负责人在投标截止之日起无在手项目的承诺函得1分。</w:t>
            </w:r>
          </w:p>
          <w:p w14:paraId="572B9B6F">
            <w:pPr>
              <w:spacing w:line="360" w:lineRule="auto"/>
              <w:ind w:firstLine="420" w:firstLineChars="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lang w:val="en-US" w:eastAsia="zh-CN"/>
              </w:rPr>
              <w:t>注：提供盖章原件扫描件，</w:t>
            </w:r>
            <w:r>
              <w:rPr>
                <w:rFonts w:hint="eastAsia" w:ascii="宋体" w:hAnsi="宋体" w:eastAsia="宋体" w:cs="宋体"/>
                <w:i w:val="0"/>
                <w:iCs w:val="0"/>
                <w:color w:val="auto"/>
                <w:kern w:val="0"/>
                <w:sz w:val="21"/>
                <w:szCs w:val="21"/>
                <w:highlight w:val="none"/>
              </w:rPr>
              <w:t>未提供或未按要求提供的均不得分。</w:t>
            </w:r>
          </w:p>
        </w:tc>
        <w:tc>
          <w:tcPr>
            <w:tcW w:w="702" w:type="dxa"/>
            <w:noWrap w:val="0"/>
            <w:vAlign w:val="center"/>
          </w:tcPr>
          <w:p w14:paraId="50C87AAE">
            <w:pPr>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w:t>
            </w:r>
          </w:p>
        </w:tc>
      </w:tr>
      <w:tr w14:paraId="724CC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101" w:type="dxa"/>
            <w:noWrap w:val="0"/>
            <w:vAlign w:val="center"/>
          </w:tcPr>
          <w:p w14:paraId="665C804C">
            <w:pPr>
              <w:widowControl/>
              <w:shd w:val="clear" w:color="auto" w:fill="FFFFFF"/>
              <w:jc w:val="center"/>
              <w:rPr>
                <w:rFonts w:hint="eastAsia" w:ascii="宋体" w:hAnsi="宋体" w:eastAsia="宋体" w:cs="宋体"/>
                <w:kern w:val="0"/>
                <w:sz w:val="21"/>
                <w:szCs w:val="21"/>
              </w:rPr>
            </w:pPr>
            <w:r>
              <w:rPr>
                <w:rFonts w:hint="eastAsia" w:ascii="宋体" w:hAnsi="宋体" w:eastAsia="宋体" w:cs="宋体"/>
                <w:kern w:val="0"/>
                <w:sz w:val="21"/>
                <w:szCs w:val="21"/>
              </w:rPr>
              <w:t>诚信投标</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1分</w:t>
            </w:r>
            <w:r>
              <w:rPr>
                <w:rFonts w:hint="eastAsia" w:ascii="宋体" w:hAnsi="宋体" w:eastAsia="宋体" w:cs="宋体"/>
                <w:kern w:val="0"/>
                <w:sz w:val="21"/>
                <w:szCs w:val="21"/>
                <w:lang w:eastAsia="zh-CN"/>
              </w:rPr>
              <w:t>）</w:t>
            </w:r>
          </w:p>
        </w:tc>
        <w:tc>
          <w:tcPr>
            <w:tcW w:w="1115" w:type="dxa"/>
            <w:noWrap w:val="0"/>
            <w:vAlign w:val="center"/>
          </w:tcPr>
          <w:p w14:paraId="21D1DE47">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盐城市大丰区政府招标采购供应商承诺书</w:t>
            </w:r>
          </w:p>
        </w:tc>
        <w:tc>
          <w:tcPr>
            <w:tcW w:w="6528" w:type="dxa"/>
            <w:noWrap w:val="0"/>
            <w:vAlign w:val="center"/>
          </w:tcPr>
          <w:p w14:paraId="667C36EF">
            <w:pPr>
              <w:spacing w:line="360" w:lineRule="auto"/>
              <w:ind w:firstLine="420" w:firstLineChars="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投标人提交签署并盖章《盐城市大丰区政府招标采购供应商承诺书》的彩色扫描件得1分；没有提供的不得分。</w:t>
            </w:r>
          </w:p>
        </w:tc>
        <w:tc>
          <w:tcPr>
            <w:tcW w:w="702" w:type="dxa"/>
            <w:noWrap w:val="0"/>
            <w:vAlign w:val="center"/>
          </w:tcPr>
          <w:p w14:paraId="3D407EBC">
            <w:pPr>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w:t>
            </w:r>
          </w:p>
        </w:tc>
      </w:tr>
    </w:tbl>
    <w:p w14:paraId="473DB607">
      <w:pPr>
        <w:pStyle w:val="15"/>
        <w:spacing w:beforeAutospacing="0" w:afterAutospacing="0"/>
        <w:jc w:val="both"/>
        <w:rPr>
          <w:rFonts w:hint="eastAsia" w:ascii="宋体" w:hAnsi="宋体" w:eastAsia="宋体" w:cs="宋体"/>
          <w:color w:val="auto"/>
          <w:sz w:val="21"/>
          <w:szCs w:val="21"/>
          <w:highlight w:val="none"/>
        </w:rPr>
      </w:pP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 xml:space="preserve">  </w:t>
      </w:r>
      <w:r>
        <w:rPr>
          <w:rFonts w:hint="eastAsia" w:ascii="宋体" w:hAnsi="宋体" w:eastAsia="宋体" w:cs="宋体"/>
          <w:b/>
          <w:bCs/>
          <w:color w:val="auto"/>
          <w:sz w:val="21"/>
          <w:szCs w:val="21"/>
          <w:highlight w:val="none"/>
        </w:rPr>
        <w:t>三.评标程序</w:t>
      </w:r>
    </w:p>
    <w:p w14:paraId="249EB718">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评标准备</w:t>
      </w:r>
    </w:p>
    <w:p w14:paraId="200EA8C5">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 评标委员会成员到达评标现场时应在签到表上签到（或通过门禁系统签到）以证明其出席。</w:t>
      </w:r>
    </w:p>
    <w:p w14:paraId="1896BDDC">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 评标委员会成员首先推选一名评标委员会负责人，负责评标活动的组织领导工作。</w:t>
      </w:r>
    </w:p>
    <w:p w14:paraId="37A18027">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 招标人或招标代理机构应向评标委员会提供评标所需的信息和数据。评标委员会负责人应组织评标委员会成员认真研究招标文件，未在招标文件中规定的标准和方法不得作为评标的依据。</w:t>
      </w:r>
    </w:p>
    <w:p w14:paraId="0C6FDD9D">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初步评审</w:t>
      </w:r>
    </w:p>
    <w:p w14:paraId="21FDDAB2">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3.2.1评标委员会依据</w:t>
      </w:r>
      <w:r>
        <w:rPr>
          <w:rFonts w:hint="eastAsia" w:ascii="宋体" w:hAnsi="宋体" w:eastAsia="宋体" w:cs="宋体"/>
          <w:color w:val="auto"/>
          <w:sz w:val="21"/>
          <w:szCs w:val="21"/>
          <w:highlight w:val="none"/>
          <w:lang w:eastAsia="zh-CN"/>
        </w:rPr>
        <w:t>招标文件的</w:t>
      </w:r>
      <w:r>
        <w:rPr>
          <w:rFonts w:hint="eastAsia" w:ascii="宋体" w:hAnsi="宋体" w:eastAsia="宋体" w:cs="宋体"/>
          <w:color w:val="auto"/>
          <w:sz w:val="21"/>
          <w:szCs w:val="21"/>
          <w:highlight w:val="none"/>
        </w:rPr>
        <w:t>规定的标准对投标文件进行初步评审。</w:t>
      </w:r>
    </w:p>
    <w:p w14:paraId="41615119">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3.2.2投标文件不符合</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评审标准的，属于重大偏差，视为未能对招标文件作出实质性响应，应当作为无效投标予以否决。</w:t>
      </w:r>
    </w:p>
    <w:p w14:paraId="65DFAB3B">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3.2.3投标报价有算术错误的，评标委员会按以下原则对投标报价进行修正，修正的价格经投标人书面确认后具有约束力。</w:t>
      </w:r>
    </w:p>
    <w:p w14:paraId="22E7CCA4">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(1）投标文件中的大写金额与小写金额不一致的，以大写金额为准；</w:t>
      </w:r>
    </w:p>
    <w:p w14:paraId="6F13A609">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(2）总价金额与依据单价计算出的结果不一致的，以单价金额为准修正总价，但单价金额小数点有明显错误的除外。</w:t>
      </w:r>
    </w:p>
    <w:p w14:paraId="213A4E27">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只有通过初步评审的投标文件才能进入详细评审。</w:t>
      </w:r>
    </w:p>
    <w:p w14:paraId="53593489">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详细评审</w:t>
      </w:r>
    </w:p>
    <w:p w14:paraId="7B30491F">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在详细评审发现符合“无效标书条款”的，应当作为无效投标予以否决，其投标报价亦不作为评标基准价的依据。</w:t>
      </w:r>
    </w:p>
    <w:p w14:paraId="2145D8E7">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 评标委员会按</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规定的量化因素和分值进行打分，并计算出综合评估得分。</w:t>
      </w:r>
    </w:p>
    <w:p w14:paraId="0B738E33">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评分分值计算保留小数点后两位，小数点后第三位“四舍五入”。</w:t>
      </w:r>
    </w:p>
    <w:p w14:paraId="690E085A">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 投标文件的澄清和补正</w:t>
      </w:r>
    </w:p>
    <w:p w14:paraId="7BD46BB6">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 在评标过程中，评标委员会可以书面形式要求投标人对所提交投标文件中不明确的内容进行书面澄清或说明，或者对细微偏差进行补正。评标委员会不接受投标人主动提出的澄清、说明或补正。</w:t>
      </w:r>
    </w:p>
    <w:p w14:paraId="6109543C">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 澄清、说明和补正不得改变投标文件的实质性内容（算术性错误修正的除外）。投标人的书面澄清、说明和补正属于投标文件的组成部分。</w:t>
      </w:r>
    </w:p>
    <w:p w14:paraId="02090599">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3.4.3 评标委员会对投标人提交的澄清、说明或补正有疑问的，可以要求投标人进一步澄清、说明或补正。</w:t>
      </w:r>
    </w:p>
    <w:p w14:paraId="72D9D792">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 推荐中标候选人或直接确定中标人</w:t>
      </w:r>
    </w:p>
    <w:p w14:paraId="7D921741">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3.5.1 除投标人须知前附表授权直接确定中标人外，评标委员会在推荐中标候选人时，应遵照以下原则:</w:t>
      </w:r>
    </w:p>
    <w:p w14:paraId="2536172F">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评标委员会按照最终得分由高至低的次序排列，并根据</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规定的中标候选人数量，将排序在前的投标人推荐为中标候选人。</w:t>
      </w:r>
    </w:p>
    <w:p w14:paraId="3AF79AED">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提交评标报告 </w:t>
      </w:r>
    </w:p>
    <w:p w14:paraId="68F6497C">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评标委员会完成评标后，应当向招标人提交书面评标报告。评标报告应当由全体评标委员会成员签字，并于评标结束时抄送有关行政监督部门。</w:t>
      </w:r>
    </w:p>
    <w:p w14:paraId="59B826A8">
      <w:pPr>
        <w:pStyle w:val="15"/>
        <w:spacing w:beforeAutospacing="0" w:afterAutospacing="0"/>
        <w:jc w:val="both"/>
        <w:rPr>
          <w:rFonts w:hint="eastAsia" w:ascii="宋体" w:hAnsi="宋体" w:eastAsia="宋体" w:cs="宋体"/>
          <w:highlight w:val="none"/>
        </w:rPr>
      </w:pPr>
    </w:p>
    <w:p w14:paraId="16A7723B">
      <w:pPr>
        <w:pStyle w:val="15"/>
        <w:keepNext/>
        <w:spacing w:beforeAutospacing="0" w:afterAutospacing="0"/>
        <w:jc w:val="center"/>
        <w:rPr>
          <w:rFonts w:hint="eastAsia" w:ascii="宋体" w:hAnsi="宋体" w:eastAsia="宋体" w:cs="宋体"/>
          <w:highlight w:val="none"/>
        </w:rPr>
      </w:pPr>
      <w:r>
        <w:rPr>
          <w:rFonts w:hint="eastAsia" w:ascii="宋体" w:hAnsi="宋体" w:eastAsia="宋体" w:cs="宋体"/>
          <w:highlight w:val="none"/>
        </w:rPr>
        <w:t>  </w:t>
      </w:r>
    </w:p>
    <w:bookmarkEnd w:id="26"/>
    <w:bookmarkEnd w:id="43"/>
    <w:bookmarkEnd w:id="88"/>
    <w:bookmarkEnd w:id="89"/>
    <w:bookmarkEnd w:id="90"/>
    <w:bookmarkEnd w:id="93"/>
    <w:bookmarkEnd w:id="94"/>
    <w:bookmarkEnd w:id="95"/>
    <w:bookmarkEnd w:id="96"/>
    <w:bookmarkEnd w:id="97"/>
    <w:bookmarkEnd w:id="98"/>
    <w:bookmarkEnd w:id="99"/>
    <w:bookmarkEnd w:id="100"/>
    <w:bookmarkEnd w:id="101"/>
    <w:bookmarkEnd w:id="102"/>
    <w:bookmarkEnd w:id="103"/>
    <w:bookmarkEnd w:id="104"/>
    <w:bookmarkEnd w:id="105"/>
    <w:bookmarkEnd w:id="110"/>
    <w:bookmarkEnd w:id="111"/>
    <w:bookmarkEnd w:id="112"/>
    <w:bookmarkEnd w:id="117"/>
    <w:bookmarkEnd w:id="118"/>
    <w:bookmarkEnd w:id="125"/>
    <w:bookmarkEnd w:id="172"/>
    <w:bookmarkEnd w:id="175"/>
    <w:p w14:paraId="0F09D57C">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r>
    </w:p>
    <w:p w14:paraId="6B97462C">
      <w:pPr>
        <w:spacing w:line="520" w:lineRule="exact"/>
        <w:jc w:val="center"/>
        <w:outlineLvl w:val="0"/>
        <w:rPr>
          <w:rFonts w:hint="eastAsia" w:ascii="宋体" w:hAnsi="宋体" w:eastAsia="宋体" w:cs="宋体"/>
          <w:b/>
          <w:color w:val="auto"/>
          <w:sz w:val="72"/>
          <w:szCs w:val="72"/>
          <w:highlight w:val="none"/>
        </w:rPr>
      </w:pPr>
      <w:r>
        <w:rPr>
          <w:rFonts w:hint="eastAsia" w:ascii="宋体" w:hAnsi="宋体" w:eastAsia="宋体" w:cs="宋体"/>
          <w:b/>
          <w:color w:val="auto"/>
          <w:sz w:val="44"/>
          <w:szCs w:val="44"/>
          <w:highlight w:val="none"/>
        </w:rPr>
        <w:t>第六章 投标文件及格式</w:t>
      </w:r>
    </w:p>
    <w:p w14:paraId="07C6CFB9">
      <w:pPr>
        <w:pStyle w:val="15"/>
        <w:spacing w:beforeAutospacing="0" w:afterAutospacing="0"/>
        <w:jc w:val="center"/>
        <w:rPr>
          <w:rFonts w:hint="eastAsia" w:ascii="宋体" w:hAnsi="宋体" w:eastAsia="宋体" w:cs="宋体"/>
          <w:b/>
          <w:color w:val="auto"/>
          <w:sz w:val="72"/>
          <w:szCs w:val="72"/>
          <w:highlight w:val="none"/>
        </w:rPr>
      </w:pPr>
    </w:p>
    <w:p w14:paraId="162B1309">
      <w:pPr>
        <w:pStyle w:val="15"/>
        <w:spacing w:beforeAutospacing="0" w:afterAutospacing="0"/>
        <w:jc w:val="center"/>
        <w:rPr>
          <w:rFonts w:hint="eastAsia" w:ascii="宋体" w:hAnsi="宋体" w:eastAsia="宋体" w:cs="宋体"/>
          <w:color w:val="auto"/>
          <w:highlight w:val="none"/>
        </w:rPr>
      </w:pPr>
      <w:r>
        <w:rPr>
          <w:rFonts w:hint="eastAsia" w:ascii="宋体" w:hAnsi="宋体" w:eastAsia="宋体" w:cs="宋体"/>
          <w:b/>
          <w:color w:val="auto"/>
          <w:sz w:val="72"/>
          <w:szCs w:val="72"/>
          <w:highlight w:val="none"/>
        </w:rPr>
        <w:t>投  标  文  件</w:t>
      </w:r>
    </w:p>
    <w:p w14:paraId="24F0E424">
      <w:pPr>
        <w:pStyle w:val="15"/>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F4CADD2">
      <w:pPr>
        <w:pStyle w:val="15"/>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2A948AD">
      <w:pPr>
        <w:pStyle w:val="15"/>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D018744">
      <w:pPr>
        <w:pStyle w:val="15"/>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8B1BE90">
      <w:pPr>
        <w:pStyle w:val="15"/>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B42A93A">
      <w:pPr>
        <w:pStyle w:val="15"/>
        <w:spacing w:beforeAutospacing="0" w:afterAutospacing="0"/>
        <w:ind w:firstLine="1084"/>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0AB313AA">
      <w:pPr>
        <w:pStyle w:val="15"/>
        <w:spacing w:beforeAutospacing="0" w:afterAutospacing="0"/>
        <w:ind w:firstLine="1084"/>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6740CC54">
      <w:pPr>
        <w:pStyle w:val="15"/>
        <w:spacing w:beforeAutospacing="0" w:afterAutospacing="0"/>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 xml:space="preserve">（加盖CA电子公章）        </w:t>
      </w:r>
    </w:p>
    <w:p w14:paraId="37C94ABB">
      <w:pPr>
        <w:pStyle w:val="15"/>
        <w:spacing w:beforeAutospacing="0" w:afterAutospacing="0"/>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05B65D03">
      <w:pPr>
        <w:spacing w:line="480" w:lineRule="exact"/>
        <w:jc w:val="center"/>
        <w:rPr>
          <w:rFonts w:hint="eastAsia" w:ascii="宋体" w:hAnsi="宋体" w:eastAsia="宋体" w:cs="宋体"/>
          <w:b/>
          <w:bCs/>
          <w:color w:val="auto"/>
          <w:sz w:val="32"/>
          <w:szCs w:val="32"/>
          <w:highlight w:val="none"/>
        </w:rPr>
        <w:sectPr>
          <w:footerReference r:id="rId5" w:type="default"/>
          <w:pgSz w:w="11906" w:h="16838"/>
          <w:pgMar w:top="1440" w:right="1587" w:bottom="1440" w:left="1587" w:header="851" w:footer="907" w:gutter="0"/>
          <w:pgNumType w:fmt="decimal"/>
          <w:cols w:space="720" w:num="1"/>
          <w:docGrid w:linePitch="360" w:charSpace="0"/>
        </w:sectPr>
      </w:pPr>
    </w:p>
    <w:p w14:paraId="6506A0E0">
      <w:pPr>
        <w:pStyle w:val="15"/>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投标文件目录</w:t>
      </w:r>
    </w:p>
    <w:p w14:paraId="38065C65">
      <w:pPr>
        <w:pStyle w:val="15"/>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1F3CDB1">
      <w:pPr>
        <w:pStyle w:val="15"/>
        <w:spacing w:beforeAutospacing="0" w:afterAutospacing="0" w:line="400" w:lineRule="exact"/>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rPr>
        <w:t>一、法人或者其他组织的营业执照等证明文件，自然人的身份证明</w:t>
      </w:r>
    </w:p>
    <w:p w14:paraId="3126EB7E">
      <w:pPr>
        <w:pStyle w:val="15"/>
        <w:spacing w:beforeAutospacing="0" w:afterAutospacing="0" w:line="400" w:lineRule="exact"/>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rPr>
        <w:t>二、上一年度的财务报表（至少提供资产负债表、利润表、现金流量表，投标人成立不满一年无需提供）</w:t>
      </w:r>
    </w:p>
    <w:p w14:paraId="3D2512AC">
      <w:pPr>
        <w:pStyle w:val="15"/>
        <w:spacing w:beforeAutospacing="0" w:afterAutospacing="0" w:line="400" w:lineRule="exact"/>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524A186A">
      <w:pPr>
        <w:pStyle w:val="15"/>
        <w:spacing w:beforeAutospacing="0" w:afterAutospacing="0" w:line="400" w:lineRule="exact"/>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rPr>
        <w:t>四、具备履行合同所必需的设备和专业技术能力的书面声明</w:t>
      </w:r>
    </w:p>
    <w:p w14:paraId="7F9782BB">
      <w:pPr>
        <w:pStyle w:val="15"/>
        <w:spacing w:beforeAutospacing="0" w:afterAutospacing="0" w:line="400" w:lineRule="exact"/>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rPr>
        <w:t>五、参加政府采购活动前 3 年内在经营活动中没有重大违法记录的书面声明</w:t>
      </w:r>
    </w:p>
    <w:p w14:paraId="63BCA4EC">
      <w:pPr>
        <w:pStyle w:val="15"/>
        <w:spacing w:beforeAutospacing="0" w:afterAutospacing="0" w:line="400" w:lineRule="exact"/>
        <w:ind w:left="480"/>
        <w:jc w:val="both"/>
        <w:rPr>
          <w:rFonts w:hint="eastAsia" w:ascii="宋体" w:hAnsi="宋体" w:eastAsia="宋体" w:cs="宋体"/>
          <w:b/>
          <w:bCs/>
          <w:i w:val="0"/>
          <w:iCs/>
          <w:color w:val="auto"/>
          <w:kern w:val="2"/>
          <w:sz w:val="21"/>
          <w:szCs w:val="21"/>
          <w:highlight w:val="none"/>
          <w:lang w:val="en-US" w:eastAsia="zh-CN" w:bidi="ar-SA"/>
        </w:rPr>
      </w:pPr>
      <w:r>
        <w:rPr>
          <w:rFonts w:hint="eastAsia" w:ascii="宋体" w:hAnsi="宋体" w:eastAsia="宋体" w:cs="宋体"/>
          <w:iCs/>
          <w:color w:val="auto"/>
          <w:highlight w:val="none"/>
        </w:rPr>
        <w:t>六、</w:t>
      </w:r>
      <w:r>
        <w:rPr>
          <w:rFonts w:hint="eastAsia" w:ascii="宋体" w:hAnsi="宋体" w:eastAsia="宋体" w:cs="宋体"/>
          <w:iCs/>
          <w:color w:val="auto"/>
          <w:highlight w:val="none"/>
          <w:lang w:val="en-US" w:eastAsia="zh-CN"/>
        </w:rPr>
        <w:t>特定资格要求的证明文件（如果本项目设置特定资格要求，则需要提供）</w:t>
      </w:r>
    </w:p>
    <w:p w14:paraId="14DB06EA">
      <w:pPr>
        <w:pStyle w:val="15"/>
        <w:spacing w:beforeAutospacing="0" w:afterAutospacing="0" w:line="400" w:lineRule="exact"/>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lang w:val="en-US" w:eastAsia="zh-CN"/>
        </w:rPr>
        <w:t>七</w:t>
      </w:r>
      <w:r>
        <w:rPr>
          <w:rFonts w:hint="eastAsia" w:ascii="宋体" w:hAnsi="宋体" w:eastAsia="宋体" w:cs="宋体"/>
          <w:iCs/>
          <w:color w:val="auto"/>
          <w:highlight w:val="none"/>
        </w:rPr>
        <w:t>、法定代表人身份证明书</w:t>
      </w:r>
    </w:p>
    <w:p w14:paraId="2A47E096">
      <w:pPr>
        <w:pStyle w:val="15"/>
        <w:spacing w:beforeAutospacing="0" w:afterAutospacing="0" w:line="400" w:lineRule="exact"/>
        <w:ind w:left="480"/>
        <w:jc w:val="both"/>
        <w:rPr>
          <w:rFonts w:hint="eastAsia" w:ascii="宋体" w:hAnsi="宋体" w:eastAsia="宋体" w:cs="宋体"/>
          <w:iCs/>
          <w:color w:val="auto"/>
          <w:highlight w:val="none"/>
          <w:lang w:val="en-US" w:eastAsia="zh-CN"/>
        </w:rPr>
      </w:pPr>
      <w:r>
        <w:rPr>
          <w:rFonts w:hint="eastAsia" w:ascii="宋体" w:hAnsi="宋体" w:eastAsia="宋体" w:cs="宋体"/>
          <w:iCs/>
          <w:color w:val="auto"/>
          <w:highlight w:val="none"/>
          <w:lang w:val="en-US" w:eastAsia="zh-CN"/>
        </w:rPr>
        <w:t>八、法定代表人授权委托书</w:t>
      </w:r>
    </w:p>
    <w:p w14:paraId="31A4F016">
      <w:pPr>
        <w:pStyle w:val="15"/>
        <w:spacing w:beforeAutospacing="0" w:afterAutospacing="0" w:line="400" w:lineRule="exact"/>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lang w:val="en-US" w:eastAsia="zh-CN"/>
        </w:rPr>
        <w:t>九</w:t>
      </w:r>
      <w:r>
        <w:rPr>
          <w:rFonts w:hint="eastAsia" w:ascii="宋体" w:hAnsi="宋体" w:eastAsia="宋体" w:cs="宋体"/>
          <w:iCs/>
          <w:color w:val="auto"/>
          <w:highlight w:val="none"/>
        </w:rPr>
        <w:t>、投标函</w:t>
      </w:r>
    </w:p>
    <w:p w14:paraId="1F9B54DC">
      <w:pPr>
        <w:pStyle w:val="15"/>
        <w:spacing w:beforeAutospacing="0" w:afterAutospacing="0" w:line="400" w:lineRule="exact"/>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lang w:val="en-US" w:eastAsia="zh-CN"/>
        </w:rPr>
        <w:t>十</w:t>
      </w:r>
      <w:r>
        <w:rPr>
          <w:rFonts w:hint="eastAsia" w:ascii="宋体" w:hAnsi="宋体" w:eastAsia="宋体" w:cs="宋体"/>
          <w:iCs/>
          <w:color w:val="auto"/>
          <w:highlight w:val="none"/>
        </w:rPr>
        <w:t>、小微企业声明函</w:t>
      </w:r>
    </w:p>
    <w:p w14:paraId="25133FBC">
      <w:pPr>
        <w:pStyle w:val="15"/>
        <w:spacing w:beforeAutospacing="0" w:afterAutospacing="0" w:line="400" w:lineRule="exact"/>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w:t>
      </w:r>
      <w:r>
        <w:rPr>
          <w:rFonts w:hint="eastAsia" w:ascii="宋体" w:hAnsi="宋体" w:eastAsia="宋体" w:cs="宋体"/>
          <w:iCs/>
          <w:color w:val="auto"/>
          <w:highlight w:val="none"/>
          <w:lang w:val="en-US" w:eastAsia="zh-CN"/>
        </w:rPr>
        <w:t>一</w:t>
      </w:r>
      <w:r>
        <w:rPr>
          <w:rFonts w:hint="eastAsia" w:ascii="宋体" w:hAnsi="宋体" w:eastAsia="宋体" w:cs="宋体"/>
          <w:iCs/>
          <w:color w:val="auto"/>
          <w:highlight w:val="none"/>
        </w:rPr>
        <w:t>、残疾人福利性单位声明函（如有）</w:t>
      </w:r>
    </w:p>
    <w:p w14:paraId="6E80D188">
      <w:pPr>
        <w:pStyle w:val="15"/>
        <w:spacing w:beforeAutospacing="0" w:afterAutospacing="0" w:line="400" w:lineRule="exact"/>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w:t>
      </w:r>
      <w:r>
        <w:rPr>
          <w:rFonts w:hint="eastAsia" w:ascii="宋体" w:hAnsi="宋体" w:eastAsia="宋体" w:cs="宋体"/>
          <w:iCs/>
          <w:color w:val="auto"/>
          <w:highlight w:val="none"/>
          <w:lang w:val="en-US" w:eastAsia="zh-CN"/>
        </w:rPr>
        <w:t>二</w:t>
      </w:r>
      <w:r>
        <w:rPr>
          <w:rFonts w:hint="eastAsia" w:ascii="宋体" w:hAnsi="宋体" w:eastAsia="宋体" w:cs="宋体"/>
          <w:iCs/>
          <w:color w:val="auto"/>
          <w:highlight w:val="none"/>
        </w:rPr>
        <w:t>、投标清单报价表</w:t>
      </w:r>
    </w:p>
    <w:p w14:paraId="5EF33E1F">
      <w:pPr>
        <w:pStyle w:val="15"/>
        <w:spacing w:beforeAutospacing="0" w:afterAutospacing="0" w:line="400" w:lineRule="exact"/>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w:t>
      </w:r>
      <w:r>
        <w:rPr>
          <w:rFonts w:hint="eastAsia" w:ascii="宋体" w:hAnsi="宋体" w:eastAsia="宋体" w:cs="宋体"/>
          <w:iCs/>
          <w:color w:val="auto"/>
          <w:highlight w:val="none"/>
          <w:lang w:val="en-US" w:eastAsia="zh-CN"/>
        </w:rPr>
        <w:t>三</w:t>
      </w:r>
      <w:r>
        <w:rPr>
          <w:rFonts w:hint="eastAsia" w:ascii="宋体" w:hAnsi="宋体" w:eastAsia="宋体" w:cs="宋体"/>
          <w:iCs/>
          <w:color w:val="auto"/>
          <w:highlight w:val="none"/>
        </w:rPr>
        <w:t>、商务要求响应及偏离表</w:t>
      </w:r>
    </w:p>
    <w:p w14:paraId="3407F31E">
      <w:pPr>
        <w:ind w:firstLine="480" w:firstLineChars="200"/>
        <w:jc w:val="both"/>
        <w:rPr>
          <w:rFonts w:hint="eastAsia" w:ascii="宋体" w:hAnsi="宋体" w:eastAsia="宋体" w:cs="宋体"/>
          <w:iCs/>
          <w:color w:val="auto"/>
          <w:highlight w:val="none"/>
        </w:rPr>
      </w:pPr>
      <w:r>
        <w:rPr>
          <w:rFonts w:hint="eastAsia" w:ascii="宋体" w:hAnsi="宋体" w:eastAsia="宋体" w:cs="宋体"/>
          <w:b w:val="0"/>
          <w:bCs w:val="0"/>
          <w:color w:val="auto"/>
          <w:sz w:val="24"/>
          <w:szCs w:val="24"/>
          <w:highlight w:val="none"/>
          <w:lang w:val="en-US" w:eastAsia="zh-CN"/>
        </w:rPr>
        <w:t>十四、</w:t>
      </w:r>
      <w:r>
        <w:rPr>
          <w:rFonts w:hint="eastAsia" w:ascii="宋体" w:hAnsi="宋体" w:eastAsia="宋体" w:cs="宋体"/>
          <w:b w:val="0"/>
          <w:bCs w:val="0"/>
          <w:color w:val="auto"/>
          <w:sz w:val="24"/>
          <w:szCs w:val="24"/>
          <w:highlight w:val="none"/>
        </w:rPr>
        <w:t>配备人员一览表</w:t>
      </w:r>
    </w:p>
    <w:p w14:paraId="34A324DF">
      <w:pPr>
        <w:pStyle w:val="15"/>
        <w:spacing w:beforeAutospacing="0" w:afterAutospacing="0" w:line="400" w:lineRule="exact"/>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w:t>
      </w:r>
      <w:r>
        <w:rPr>
          <w:rFonts w:hint="eastAsia" w:ascii="宋体" w:hAnsi="宋体" w:eastAsia="宋体" w:cs="宋体"/>
          <w:iCs/>
          <w:color w:val="auto"/>
          <w:highlight w:val="none"/>
          <w:lang w:val="en-US" w:eastAsia="zh-CN"/>
        </w:rPr>
        <w:t>五</w:t>
      </w:r>
      <w:r>
        <w:rPr>
          <w:rFonts w:hint="eastAsia" w:ascii="宋体" w:hAnsi="宋体" w:eastAsia="宋体" w:cs="宋体"/>
          <w:iCs/>
          <w:color w:val="auto"/>
          <w:highlight w:val="none"/>
        </w:rPr>
        <w:t>、开标一览表</w:t>
      </w:r>
    </w:p>
    <w:p w14:paraId="71CA5148">
      <w:pPr>
        <w:pStyle w:val="15"/>
        <w:spacing w:beforeAutospacing="0" w:afterAutospacing="0" w:line="400" w:lineRule="exact"/>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w:t>
      </w:r>
      <w:r>
        <w:rPr>
          <w:rFonts w:hint="eastAsia" w:ascii="宋体" w:hAnsi="宋体" w:eastAsia="宋体" w:cs="宋体"/>
          <w:iCs/>
          <w:color w:val="auto"/>
          <w:highlight w:val="none"/>
          <w:lang w:val="en-US" w:eastAsia="zh-CN"/>
        </w:rPr>
        <w:t>六</w:t>
      </w:r>
      <w:r>
        <w:rPr>
          <w:rFonts w:hint="eastAsia" w:ascii="宋体" w:hAnsi="宋体" w:eastAsia="宋体" w:cs="宋体"/>
          <w:iCs/>
          <w:color w:val="auto"/>
          <w:highlight w:val="none"/>
        </w:rPr>
        <w:t>、技术方案、服务承诺、培训承诺等</w:t>
      </w:r>
    </w:p>
    <w:p w14:paraId="799D21ED">
      <w:pPr>
        <w:pStyle w:val="15"/>
        <w:spacing w:beforeAutospacing="0" w:afterAutospacing="0" w:line="400" w:lineRule="exact"/>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w:t>
      </w:r>
      <w:r>
        <w:rPr>
          <w:rFonts w:hint="eastAsia" w:ascii="宋体" w:hAnsi="宋体" w:eastAsia="宋体" w:cs="宋体"/>
          <w:iCs/>
          <w:color w:val="auto"/>
          <w:highlight w:val="none"/>
          <w:lang w:val="en-US" w:eastAsia="zh-CN"/>
        </w:rPr>
        <w:t>七</w:t>
      </w:r>
      <w:r>
        <w:rPr>
          <w:rFonts w:hint="eastAsia" w:ascii="宋体" w:hAnsi="宋体" w:eastAsia="宋体" w:cs="宋体"/>
          <w:iCs/>
          <w:color w:val="auto"/>
          <w:highlight w:val="none"/>
        </w:rPr>
        <w:t>、盐城市政府采购事前信用承诺书</w:t>
      </w:r>
    </w:p>
    <w:p w14:paraId="39C70540">
      <w:pPr>
        <w:pStyle w:val="15"/>
        <w:spacing w:beforeAutospacing="0" w:afterAutospacing="0" w:line="400" w:lineRule="exact"/>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lang w:val="en-US" w:eastAsia="zh-CN"/>
        </w:rPr>
        <w:t>十八、</w:t>
      </w:r>
      <w:r>
        <w:rPr>
          <w:rFonts w:hint="eastAsia" w:ascii="宋体" w:hAnsi="宋体" w:eastAsia="宋体" w:cs="宋体"/>
          <w:iCs/>
          <w:color w:val="auto"/>
          <w:highlight w:val="none"/>
        </w:rPr>
        <w:t>质疑函范本</w:t>
      </w:r>
    </w:p>
    <w:p w14:paraId="260F54BA">
      <w:pPr>
        <w:pStyle w:val="15"/>
        <w:spacing w:beforeAutospacing="0" w:afterAutospacing="0" w:line="400" w:lineRule="exact"/>
        <w:ind w:left="480"/>
        <w:jc w:val="both"/>
        <w:rPr>
          <w:rFonts w:hint="eastAsia" w:ascii="宋体" w:hAnsi="宋体" w:eastAsia="宋体" w:cs="宋体"/>
          <w:iCs/>
          <w:color w:val="auto"/>
          <w:highlight w:val="none"/>
        </w:rPr>
      </w:pPr>
    </w:p>
    <w:p w14:paraId="1C2B7B29">
      <w:pPr>
        <w:spacing w:line="480" w:lineRule="exact"/>
        <w:jc w:val="center"/>
        <w:rPr>
          <w:rFonts w:hint="eastAsia" w:ascii="宋体" w:hAnsi="宋体" w:eastAsia="宋体" w:cs="宋体"/>
          <w:b/>
          <w:bCs/>
          <w:color w:val="auto"/>
          <w:sz w:val="32"/>
          <w:szCs w:val="32"/>
          <w:highlight w:val="none"/>
        </w:rPr>
      </w:pPr>
    </w:p>
    <w:p w14:paraId="4B208353">
      <w:pPr>
        <w:spacing w:line="480" w:lineRule="exact"/>
        <w:jc w:val="center"/>
        <w:rPr>
          <w:rFonts w:hint="eastAsia" w:ascii="宋体" w:hAnsi="宋体" w:eastAsia="宋体" w:cs="宋体"/>
          <w:b/>
          <w:bCs/>
          <w:color w:val="auto"/>
          <w:sz w:val="32"/>
          <w:szCs w:val="32"/>
          <w:highlight w:val="none"/>
        </w:rPr>
      </w:pPr>
    </w:p>
    <w:p w14:paraId="395AE02B">
      <w:pPr>
        <w:spacing w:line="480" w:lineRule="exact"/>
        <w:jc w:val="center"/>
        <w:rPr>
          <w:rFonts w:hint="eastAsia" w:ascii="宋体" w:hAnsi="宋体" w:eastAsia="宋体" w:cs="宋体"/>
          <w:b/>
          <w:bCs/>
          <w:color w:val="auto"/>
          <w:sz w:val="32"/>
          <w:szCs w:val="32"/>
          <w:highlight w:val="none"/>
        </w:rPr>
      </w:pPr>
    </w:p>
    <w:p w14:paraId="6E56A35E">
      <w:pPr>
        <w:spacing w:line="480" w:lineRule="exact"/>
        <w:jc w:val="center"/>
        <w:rPr>
          <w:rFonts w:hint="eastAsia" w:ascii="宋体" w:hAnsi="宋体" w:eastAsia="宋体" w:cs="宋体"/>
          <w:b/>
          <w:bCs/>
          <w:color w:val="auto"/>
          <w:sz w:val="32"/>
          <w:szCs w:val="32"/>
          <w:highlight w:val="none"/>
        </w:rPr>
      </w:pPr>
    </w:p>
    <w:p w14:paraId="0CC62D82">
      <w:pPr>
        <w:spacing w:line="520" w:lineRule="exact"/>
        <w:jc w:val="center"/>
        <w:rPr>
          <w:rFonts w:hint="eastAsia" w:ascii="宋体" w:hAnsi="宋体" w:eastAsia="宋体" w:cs="宋体"/>
          <w:b/>
          <w:color w:val="auto"/>
          <w:sz w:val="36"/>
          <w:szCs w:val="36"/>
          <w:highlight w:val="none"/>
        </w:rPr>
      </w:pPr>
    </w:p>
    <w:p w14:paraId="29CC9E7B">
      <w:pPr>
        <w:pStyle w:val="15"/>
        <w:spacing w:beforeAutospacing="0" w:afterAutospacing="0" w:line="0" w:lineRule="atLeast"/>
        <w:ind w:firstLine="480"/>
        <w:jc w:val="center"/>
        <w:rPr>
          <w:rFonts w:hint="eastAsia" w:ascii="宋体" w:hAnsi="宋体" w:eastAsia="宋体" w:cs="宋体"/>
          <w:b/>
          <w:color w:val="auto"/>
          <w:sz w:val="36"/>
          <w:szCs w:val="36"/>
          <w:highlight w:val="none"/>
        </w:rPr>
      </w:pPr>
    </w:p>
    <w:p w14:paraId="29E8AEC0">
      <w:pPr>
        <w:pStyle w:val="15"/>
        <w:spacing w:beforeAutospacing="0" w:afterAutospacing="0" w:line="0" w:lineRule="atLeast"/>
        <w:ind w:firstLine="480"/>
        <w:jc w:val="center"/>
        <w:rPr>
          <w:rFonts w:hint="eastAsia" w:ascii="宋体" w:hAnsi="宋体" w:eastAsia="宋体" w:cs="宋体"/>
          <w:b/>
          <w:color w:val="auto"/>
          <w:sz w:val="36"/>
          <w:szCs w:val="36"/>
          <w:highlight w:val="none"/>
        </w:rPr>
      </w:pPr>
    </w:p>
    <w:p w14:paraId="5E84BBF6">
      <w:pPr>
        <w:pStyle w:val="15"/>
        <w:spacing w:beforeAutospacing="0" w:afterAutospacing="0" w:line="0" w:lineRule="atLeast"/>
        <w:ind w:firstLine="480"/>
        <w:jc w:val="center"/>
        <w:rPr>
          <w:rFonts w:hint="eastAsia" w:ascii="宋体" w:hAnsi="宋体" w:eastAsia="宋体" w:cs="宋体"/>
          <w:b/>
          <w:color w:val="auto"/>
          <w:sz w:val="36"/>
          <w:szCs w:val="36"/>
          <w:highlight w:val="none"/>
        </w:rPr>
      </w:pPr>
    </w:p>
    <w:p w14:paraId="719E46EC">
      <w:pPr>
        <w:pStyle w:val="15"/>
        <w:spacing w:beforeAutospacing="0" w:afterAutospacing="0" w:line="0" w:lineRule="atLeast"/>
        <w:ind w:firstLine="480"/>
        <w:jc w:val="center"/>
        <w:rPr>
          <w:rFonts w:hint="eastAsia" w:ascii="宋体" w:hAnsi="宋体" w:eastAsia="宋体" w:cs="宋体"/>
          <w:b/>
          <w:color w:val="auto"/>
          <w:sz w:val="36"/>
          <w:szCs w:val="36"/>
          <w:highlight w:val="none"/>
        </w:rPr>
      </w:pPr>
    </w:p>
    <w:p w14:paraId="252BBFC2">
      <w:pPr>
        <w:pStyle w:val="15"/>
        <w:spacing w:beforeAutospacing="0" w:afterAutospacing="0" w:line="0" w:lineRule="atLeast"/>
        <w:ind w:firstLine="48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（一）法人或者其他组织的营业执照等证明文件，自然人的身份证明</w:t>
      </w:r>
    </w:p>
    <w:p w14:paraId="13F2A90D">
      <w:pPr>
        <w:pStyle w:val="15"/>
        <w:spacing w:beforeAutospacing="0" w:afterAutospacing="0" w:line="0" w:lineRule="atLeast"/>
        <w:ind w:firstLine="48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（二）上一年度的财务报表（投标人成立不满一年不需提供）</w:t>
      </w:r>
    </w:p>
    <w:p w14:paraId="0836B7C8">
      <w:pPr>
        <w:pStyle w:val="15"/>
        <w:spacing w:beforeAutospacing="0" w:afterAutospacing="0" w:line="0" w:lineRule="atLeast"/>
        <w:ind w:firstLine="48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（三）依法缴纳税收和社会保障资金的相关材料</w:t>
      </w:r>
    </w:p>
    <w:p w14:paraId="363533CC">
      <w:pPr>
        <w:pStyle w:val="11"/>
        <w:spacing w:before="120" w:after="120" w:line="440" w:lineRule="exact"/>
        <w:jc w:val="center"/>
        <w:rPr>
          <w:rFonts w:hint="eastAsia" w:ascii="宋体" w:hAnsi="宋体" w:eastAsia="宋体" w:cs="宋体"/>
          <w:b/>
          <w:color w:val="auto"/>
          <w:sz w:val="36"/>
          <w:szCs w:val="36"/>
          <w:highlight w:val="none"/>
        </w:rPr>
        <w:sectPr>
          <w:pgSz w:w="11906" w:h="16838"/>
          <w:pgMar w:top="1440" w:right="1587" w:bottom="1440" w:left="1587" w:header="851" w:footer="907" w:gutter="0"/>
          <w:pgNumType w:fmt="decimal"/>
          <w:cols w:space="720" w:num="1"/>
          <w:docGrid w:linePitch="360" w:charSpace="0"/>
        </w:sectPr>
      </w:pPr>
    </w:p>
    <w:p w14:paraId="3210DF2B">
      <w:pPr>
        <w:pStyle w:val="15"/>
        <w:spacing w:beforeAutospacing="0" w:afterAutospacing="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（四）具备履行合同所必需的设备和专业技术能力的书面声明</w:t>
      </w:r>
    </w:p>
    <w:p w14:paraId="4C4E4817">
      <w:pPr>
        <w:pStyle w:val="11"/>
        <w:spacing w:before="120" w:after="120" w:line="440" w:lineRule="exact"/>
        <w:jc w:val="center"/>
        <w:rPr>
          <w:rFonts w:hint="eastAsia" w:ascii="宋体" w:hAnsi="宋体" w:eastAsia="宋体" w:cs="宋体"/>
          <w:b/>
          <w:color w:val="auto"/>
          <w:sz w:val="36"/>
          <w:szCs w:val="36"/>
          <w:highlight w:val="none"/>
        </w:rPr>
      </w:pPr>
    </w:p>
    <w:p w14:paraId="72308187">
      <w:pPr>
        <w:pStyle w:val="15"/>
        <w:spacing w:beforeAutospacing="0" w:afterAutospacing="0" w:line="500" w:lineRule="exact"/>
        <w:ind w:firstLine="492"/>
        <w:jc w:val="both"/>
        <w:rPr>
          <w:rFonts w:hint="eastAsia" w:ascii="宋体" w:hAnsi="宋体" w:eastAsia="宋体" w:cs="宋体"/>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49E61CD1">
      <w:pPr>
        <w:pStyle w:val="15"/>
        <w:spacing w:beforeAutospacing="0" w:afterAutospacing="0" w:line="500" w:lineRule="exact"/>
        <w:ind w:firstLine="492"/>
        <w:jc w:val="both"/>
        <w:rPr>
          <w:rFonts w:hint="eastAsia" w:ascii="宋体" w:hAnsi="宋体" w:eastAsia="宋体" w:cs="宋体"/>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BEC52AC">
      <w:pPr>
        <w:pStyle w:val="15"/>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42C54AB">
      <w:pPr>
        <w:spacing w:line="500" w:lineRule="exact"/>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投标人名称（公章）：</w:t>
      </w:r>
    </w:p>
    <w:p w14:paraId="43B90933">
      <w:pPr>
        <w:spacing w:line="500" w:lineRule="exact"/>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授权代理人签名：</w:t>
      </w:r>
    </w:p>
    <w:p w14:paraId="2CA2C4A4">
      <w:pPr>
        <w:spacing w:line="500" w:lineRule="exact"/>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7B5E9C9E">
      <w:pPr>
        <w:pStyle w:val="11"/>
        <w:spacing w:before="120" w:after="120" w:line="440" w:lineRule="exact"/>
        <w:jc w:val="center"/>
        <w:rPr>
          <w:rFonts w:hint="eastAsia" w:ascii="宋体" w:hAnsi="宋体" w:eastAsia="宋体" w:cs="宋体"/>
          <w:b/>
          <w:color w:val="auto"/>
          <w:sz w:val="36"/>
          <w:szCs w:val="36"/>
          <w:highlight w:val="none"/>
        </w:rPr>
      </w:pPr>
    </w:p>
    <w:p w14:paraId="77AB5FD1">
      <w:pPr>
        <w:pStyle w:val="11"/>
        <w:spacing w:before="120" w:after="120" w:line="440" w:lineRule="exact"/>
        <w:jc w:val="center"/>
        <w:rPr>
          <w:rFonts w:hint="eastAsia" w:ascii="宋体" w:hAnsi="宋体" w:eastAsia="宋体" w:cs="宋体"/>
          <w:b/>
          <w:color w:val="auto"/>
          <w:sz w:val="36"/>
          <w:szCs w:val="36"/>
          <w:highlight w:val="none"/>
        </w:rPr>
      </w:pPr>
    </w:p>
    <w:p w14:paraId="0487D009">
      <w:pPr>
        <w:pStyle w:val="11"/>
        <w:spacing w:before="120" w:after="120" w:line="440" w:lineRule="exact"/>
        <w:jc w:val="center"/>
        <w:rPr>
          <w:rFonts w:hint="eastAsia" w:ascii="宋体" w:hAnsi="宋体" w:eastAsia="宋体" w:cs="宋体"/>
          <w:b/>
          <w:color w:val="auto"/>
          <w:sz w:val="36"/>
          <w:szCs w:val="36"/>
          <w:highlight w:val="none"/>
        </w:rPr>
      </w:pPr>
    </w:p>
    <w:p w14:paraId="6944AD87">
      <w:pPr>
        <w:pStyle w:val="11"/>
        <w:spacing w:before="120" w:after="120" w:line="440" w:lineRule="exact"/>
        <w:jc w:val="center"/>
        <w:rPr>
          <w:rFonts w:hint="eastAsia" w:ascii="宋体" w:hAnsi="宋体" w:eastAsia="宋体" w:cs="宋体"/>
          <w:b/>
          <w:color w:val="auto"/>
          <w:sz w:val="36"/>
          <w:szCs w:val="36"/>
          <w:highlight w:val="none"/>
        </w:rPr>
      </w:pPr>
    </w:p>
    <w:p w14:paraId="0AC20018">
      <w:pPr>
        <w:pStyle w:val="11"/>
        <w:spacing w:before="120" w:after="120" w:line="440" w:lineRule="exact"/>
        <w:jc w:val="center"/>
        <w:rPr>
          <w:rFonts w:hint="eastAsia" w:ascii="宋体" w:hAnsi="宋体" w:eastAsia="宋体" w:cs="宋体"/>
          <w:b/>
          <w:color w:val="auto"/>
          <w:sz w:val="36"/>
          <w:szCs w:val="36"/>
          <w:highlight w:val="none"/>
        </w:rPr>
      </w:pPr>
    </w:p>
    <w:p w14:paraId="4F8A4959">
      <w:pPr>
        <w:pStyle w:val="11"/>
        <w:spacing w:before="120" w:after="120" w:line="440" w:lineRule="exact"/>
        <w:jc w:val="center"/>
        <w:rPr>
          <w:rFonts w:hint="eastAsia" w:ascii="宋体" w:hAnsi="宋体" w:eastAsia="宋体" w:cs="宋体"/>
          <w:b/>
          <w:color w:val="auto"/>
          <w:sz w:val="36"/>
          <w:szCs w:val="36"/>
          <w:highlight w:val="none"/>
        </w:rPr>
      </w:pPr>
    </w:p>
    <w:p w14:paraId="072CB0C1">
      <w:pPr>
        <w:pStyle w:val="11"/>
        <w:spacing w:before="120" w:after="120" w:line="440" w:lineRule="exact"/>
        <w:jc w:val="center"/>
        <w:rPr>
          <w:rFonts w:hint="eastAsia" w:ascii="宋体" w:hAnsi="宋体" w:eastAsia="宋体" w:cs="宋体"/>
          <w:b/>
          <w:color w:val="auto"/>
          <w:sz w:val="36"/>
          <w:szCs w:val="36"/>
          <w:highlight w:val="none"/>
        </w:rPr>
      </w:pPr>
    </w:p>
    <w:p w14:paraId="58859249">
      <w:pPr>
        <w:pStyle w:val="11"/>
        <w:spacing w:before="120" w:after="120" w:line="440" w:lineRule="exact"/>
        <w:jc w:val="center"/>
        <w:rPr>
          <w:rFonts w:hint="eastAsia" w:ascii="宋体" w:hAnsi="宋体" w:eastAsia="宋体" w:cs="宋体"/>
          <w:b/>
          <w:color w:val="auto"/>
          <w:sz w:val="36"/>
          <w:szCs w:val="36"/>
          <w:highlight w:val="none"/>
        </w:rPr>
      </w:pPr>
    </w:p>
    <w:p w14:paraId="1749E0E0">
      <w:pPr>
        <w:pStyle w:val="11"/>
        <w:spacing w:before="120" w:after="120" w:line="440" w:lineRule="exact"/>
        <w:jc w:val="center"/>
        <w:rPr>
          <w:rFonts w:hint="eastAsia" w:ascii="宋体" w:hAnsi="宋体" w:eastAsia="宋体" w:cs="宋体"/>
          <w:b/>
          <w:color w:val="auto"/>
          <w:sz w:val="36"/>
          <w:szCs w:val="36"/>
          <w:highlight w:val="none"/>
        </w:rPr>
      </w:pPr>
    </w:p>
    <w:p w14:paraId="0844A980">
      <w:pPr>
        <w:pStyle w:val="11"/>
        <w:spacing w:before="120" w:after="120" w:line="440" w:lineRule="exact"/>
        <w:jc w:val="center"/>
        <w:rPr>
          <w:rFonts w:hint="eastAsia" w:ascii="宋体" w:hAnsi="宋体" w:eastAsia="宋体" w:cs="宋体"/>
          <w:b/>
          <w:color w:val="auto"/>
          <w:sz w:val="36"/>
          <w:szCs w:val="36"/>
          <w:highlight w:val="none"/>
        </w:rPr>
      </w:pPr>
    </w:p>
    <w:p w14:paraId="4D2748D9">
      <w:pPr>
        <w:pStyle w:val="11"/>
        <w:spacing w:before="120" w:after="120" w:line="440" w:lineRule="exact"/>
        <w:jc w:val="center"/>
        <w:rPr>
          <w:rFonts w:hint="eastAsia" w:ascii="宋体" w:hAnsi="宋体" w:eastAsia="宋体" w:cs="宋体"/>
          <w:b/>
          <w:color w:val="auto"/>
          <w:sz w:val="36"/>
          <w:szCs w:val="36"/>
          <w:highlight w:val="none"/>
        </w:rPr>
      </w:pPr>
    </w:p>
    <w:p w14:paraId="77229342">
      <w:pPr>
        <w:pStyle w:val="11"/>
        <w:spacing w:before="120" w:after="120" w:line="440" w:lineRule="exact"/>
        <w:jc w:val="center"/>
        <w:rPr>
          <w:rFonts w:hint="eastAsia" w:ascii="宋体" w:hAnsi="宋体" w:eastAsia="宋体" w:cs="宋体"/>
          <w:b/>
          <w:color w:val="auto"/>
          <w:sz w:val="36"/>
          <w:szCs w:val="36"/>
          <w:highlight w:val="none"/>
        </w:rPr>
      </w:pPr>
    </w:p>
    <w:p w14:paraId="0478306F">
      <w:pPr>
        <w:pStyle w:val="11"/>
        <w:spacing w:before="120" w:after="120" w:line="440" w:lineRule="exact"/>
        <w:jc w:val="center"/>
        <w:rPr>
          <w:rFonts w:hint="eastAsia" w:ascii="宋体" w:hAnsi="宋体" w:eastAsia="宋体" w:cs="宋体"/>
          <w:b/>
          <w:color w:val="auto"/>
          <w:sz w:val="36"/>
          <w:szCs w:val="36"/>
          <w:highlight w:val="none"/>
        </w:rPr>
      </w:pPr>
    </w:p>
    <w:p w14:paraId="11E6C3B5">
      <w:pPr>
        <w:pStyle w:val="11"/>
        <w:spacing w:before="120" w:after="120" w:line="440" w:lineRule="exact"/>
        <w:jc w:val="center"/>
        <w:rPr>
          <w:rFonts w:hint="eastAsia" w:ascii="宋体" w:hAnsi="宋体" w:eastAsia="宋体" w:cs="宋体"/>
          <w:b/>
          <w:color w:val="auto"/>
          <w:sz w:val="36"/>
          <w:szCs w:val="36"/>
          <w:highlight w:val="none"/>
        </w:rPr>
      </w:pPr>
    </w:p>
    <w:p w14:paraId="5CEE9EC4">
      <w:pPr>
        <w:pStyle w:val="11"/>
        <w:spacing w:before="120" w:after="120" w:line="440" w:lineRule="exact"/>
        <w:jc w:val="center"/>
        <w:rPr>
          <w:rFonts w:hint="eastAsia" w:ascii="宋体" w:hAnsi="宋体" w:eastAsia="宋体" w:cs="宋体"/>
          <w:b/>
          <w:color w:val="auto"/>
          <w:sz w:val="36"/>
          <w:szCs w:val="36"/>
          <w:highlight w:val="none"/>
        </w:rPr>
        <w:sectPr>
          <w:pgSz w:w="11906" w:h="16838"/>
          <w:pgMar w:top="1440" w:right="1587" w:bottom="1440" w:left="1587" w:header="851" w:footer="907" w:gutter="0"/>
          <w:pgNumType w:fmt="decimal"/>
          <w:cols w:space="720" w:num="1"/>
          <w:docGrid w:linePitch="360" w:charSpace="0"/>
        </w:sectPr>
      </w:pPr>
    </w:p>
    <w:p w14:paraId="494D9EE4">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（五）参加政府采购活动前 3 年内在经营活动中没有重大违法记录的书面声明</w:t>
      </w:r>
    </w:p>
    <w:p w14:paraId="41D57AED">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44"/>
          <w:szCs w:val="44"/>
          <w:highlight w:val="none"/>
        </w:rPr>
        <w:t xml:space="preserve">   </w:t>
      </w:r>
    </w:p>
    <w:p w14:paraId="35D9B7BB">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声  明</w:t>
      </w:r>
    </w:p>
    <w:p w14:paraId="7C6A4E68">
      <w:pPr>
        <w:spacing w:line="460" w:lineRule="exact"/>
        <w:ind w:firstLine="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我公司郑重声明：参加本次政府采购活动前 3 年内，我公司在经营活动中没有因违法经营受到刑事处罚或者责令停产停业、吊销许可证或者执照、较大数额罚款等行政处罚。</w:t>
      </w:r>
    </w:p>
    <w:p w14:paraId="154EE4F1">
      <w:pPr>
        <w:spacing w:line="460" w:lineRule="exact"/>
        <w:rPr>
          <w:rFonts w:hint="eastAsia" w:ascii="宋体" w:hAnsi="宋体" w:eastAsia="宋体" w:cs="宋体"/>
          <w:bCs/>
          <w:color w:val="auto"/>
          <w:sz w:val="24"/>
          <w:highlight w:val="none"/>
        </w:rPr>
      </w:pPr>
    </w:p>
    <w:p w14:paraId="0EB1C074">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投标人名称（公章）：</w:t>
      </w:r>
    </w:p>
    <w:p w14:paraId="5430DFE1">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授权代理人签名：</w:t>
      </w:r>
    </w:p>
    <w:p w14:paraId="7209AE5A">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787296F2">
      <w:pPr>
        <w:spacing w:line="360" w:lineRule="auto"/>
        <w:ind w:left="1446" w:hanging="1446"/>
        <w:jc w:val="center"/>
        <w:rPr>
          <w:rFonts w:hint="eastAsia" w:ascii="宋体" w:hAnsi="宋体" w:eastAsia="宋体" w:cs="宋体"/>
          <w:b/>
          <w:color w:val="auto"/>
          <w:sz w:val="36"/>
          <w:szCs w:val="36"/>
          <w:highlight w:val="none"/>
        </w:rPr>
      </w:pPr>
    </w:p>
    <w:p w14:paraId="5F15C39D">
      <w:pPr>
        <w:spacing w:line="360" w:lineRule="auto"/>
        <w:ind w:left="1446" w:hanging="1446"/>
        <w:jc w:val="center"/>
        <w:rPr>
          <w:rFonts w:hint="eastAsia" w:ascii="宋体" w:hAnsi="宋体" w:eastAsia="宋体" w:cs="宋体"/>
          <w:b/>
          <w:color w:val="auto"/>
          <w:sz w:val="36"/>
          <w:szCs w:val="36"/>
          <w:highlight w:val="none"/>
        </w:rPr>
      </w:pPr>
    </w:p>
    <w:p w14:paraId="60FE480F">
      <w:pPr>
        <w:spacing w:line="360" w:lineRule="auto"/>
        <w:ind w:left="1446" w:hanging="1446"/>
        <w:jc w:val="center"/>
        <w:rPr>
          <w:rFonts w:hint="eastAsia" w:ascii="宋体" w:hAnsi="宋体" w:eastAsia="宋体" w:cs="宋体"/>
          <w:b/>
          <w:color w:val="auto"/>
          <w:sz w:val="36"/>
          <w:szCs w:val="36"/>
          <w:highlight w:val="none"/>
        </w:rPr>
      </w:pPr>
    </w:p>
    <w:p w14:paraId="161F421E">
      <w:pPr>
        <w:pStyle w:val="16"/>
        <w:ind w:firstLine="361"/>
        <w:rPr>
          <w:rFonts w:hint="eastAsia" w:ascii="宋体" w:hAnsi="宋体" w:eastAsia="宋体" w:cs="宋体"/>
          <w:b/>
          <w:color w:val="auto"/>
          <w:sz w:val="36"/>
          <w:szCs w:val="36"/>
          <w:highlight w:val="none"/>
        </w:rPr>
      </w:pPr>
    </w:p>
    <w:p w14:paraId="48382422">
      <w:pPr>
        <w:rPr>
          <w:rFonts w:hint="eastAsia" w:ascii="宋体" w:hAnsi="宋体" w:eastAsia="宋体" w:cs="宋体"/>
          <w:b/>
          <w:color w:val="auto"/>
          <w:sz w:val="36"/>
          <w:szCs w:val="36"/>
          <w:highlight w:val="none"/>
        </w:rPr>
      </w:pPr>
    </w:p>
    <w:p w14:paraId="2CCEFEC6">
      <w:pPr>
        <w:rPr>
          <w:rFonts w:hint="eastAsia" w:ascii="宋体" w:hAnsi="宋体" w:eastAsia="宋体" w:cs="宋体"/>
          <w:b/>
          <w:color w:val="auto"/>
          <w:sz w:val="36"/>
          <w:szCs w:val="36"/>
          <w:highlight w:val="none"/>
        </w:rPr>
      </w:pPr>
    </w:p>
    <w:p w14:paraId="1C10C447">
      <w:pPr>
        <w:pStyle w:val="12"/>
        <w:rPr>
          <w:rFonts w:hint="eastAsia" w:ascii="宋体" w:hAnsi="宋体" w:eastAsia="宋体" w:cs="宋体"/>
          <w:color w:val="auto"/>
          <w:highlight w:val="none"/>
        </w:rPr>
      </w:pPr>
    </w:p>
    <w:p w14:paraId="4A46A32C">
      <w:pPr>
        <w:rPr>
          <w:rFonts w:hint="eastAsia" w:ascii="宋体" w:hAnsi="宋体" w:eastAsia="宋体" w:cs="宋体"/>
          <w:color w:val="auto"/>
          <w:highlight w:val="none"/>
        </w:rPr>
      </w:pPr>
    </w:p>
    <w:p w14:paraId="12EE9E7D">
      <w:pPr>
        <w:pStyle w:val="12"/>
        <w:rPr>
          <w:rFonts w:hint="eastAsia" w:ascii="宋体" w:hAnsi="宋体" w:eastAsia="宋体" w:cs="宋体"/>
          <w:color w:val="auto"/>
          <w:highlight w:val="none"/>
        </w:rPr>
      </w:pPr>
    </w:p>
    <w:p w14:paraId="6742CA2B">
      <w:pPr>
        <w:rPr>
          <w:rFonts w:hint="eastAsia" w:ascii="宋体" w:hAnsi="宋体" w:eastAsia="宋体" w:cs="宋体"/>
          <w:color w:val="auto"/>
          <w:highlight w:val="none"/>
        </w:rPr>
      </w:pPr>
    </w:p>
    <w:p w14:paraId="0852CCA2">
      <w:pPr>
        <w:pStyle w:val="12"/>
        <w:rPr>
          <w:rFonts w:hint="eastAsia" w:ascii="宋体" w:hAnsi="宋体" w:eastAsia="宋体" w:cs="宋体"/>
          <w:color w:val="auto"/>
          <w:highlight w:val="none"/>
        </w:rPr>
      </w:pPr>
    </w:p>
    <w:p w14:paraId="6B8123BD">
      <w:pPr>
        <w:rPr>
          <w:rFonts w:hint="eastAsia" w:ascii="宋体" w:hAnsi="宋体" w:eastAsia="宋体" w:cs="宋体"/>
          <w:color w:val="auto"/>
          <w:highlight w:val="none"/>
        </w:rPr>
      </w:pPr>
    </w:p>
    <w:p w14:paraId="5444EF0A">
      <w:pPr>
        <w:pStyle w:val="12"/>
        <w:rPr>
          <w:rFonts w:hint="eastAsia" w:ascii="宋体" w:hAnsi="宋体" w:eastAsia="宋体" w:cs="宋体"/>
          <w:color w:val="auto"/>
          <w:highlight w:val="none"/>
        </w:rPr>
      </w:pPr>
    </w:p>
    <w:p w14:paraId="73932354">
      <w:pPr>
        <w:rPr>
          <w:rFonts w:hint="eastAsia" w:ascii="宋体" w:hAnsi="宋体" w:eastAsia="宋体" w:cs="宋体"/>
          <w:color w:val="auto"/>
          <w:highlight w:val="none"/>
        </w:rPr>
      </w:pPr>
    </w:p>
    <w:p w14:paraId="6EBF3F67">
      <w:pPr>
        <w:pStyle w:val="12"/>
        <w:rPr>
          <w:rFonts w:hint="eastAsia" w:ascii="宋体" w:hAnsi="宋体" w:eastAsia="宋体" w:cs="宋体"/>
          <w:color w:val="auto"/>
          <w:highlight w:val="none"/>
        </w:rPr>
      </w:pPr>
    </w:p>
    <w:p w14:paraId="39F05638">
      <w:pPr>
        <w:rPr>
          <w:rFonts w:hint="eastAsia" w:ascii="宋体" w:hAnsi="宋体" w:eastAsia="宋体" w:cs="宋体"/>
          <w:color w:val="auto"/>
          <w:highlight w:val="none"/>
        </w:rPr>
      </w:pPr>
    </w:p>
    <w:p w14:paraId="5428694D">
      <w:pPr>
        <w:pStyle w:val="12"/>
        <w:rPr>
          <w:rFonts w:hint="eastAsia" w:ascii="宋体" w:hAnsi="宋体" w:eastAsia="宋体" w:cs="宋体"/>
          <w:color w:val="auto"/>
          <w:highlight w:val="none"/>
        </w:rPr>
      </w:pPr>
    </w:p>
    <w:p w14:paraId="2D5C8956">
      <w:pPr>
        <w:rPr>
          <w:rFonts w:hint="eastAsia" w:ascii="宋体" w:hAnsi="宋体" w:eastAsia="宋体" w:cs="宋体"/>
          <w:color w:val="auto"/>
          <w:highlight w:val="none"/>
        </w:rPr>
      </w:pPr>
    </w:p>
    <w:p w14:paraId="520D8454">
      <w:pPr>
        <w:pStyle w:val="12"/>
        <w:rPr>
          <w:rFonts w:hint="eastAsia" w:ascii="宋体" w:hAnsi="宋体" w:eastAsia="宋体" w:cs="宋体"/>
          <w:color w:val="auto"/>
          <w:highlight w:val="none"/>
        </w:rPr>
      </w:pPr>
    </w:p>
    <w:p w14:paraId="6B9A6D6B">
      <w:pPr>
        <w:rPr>
          <w:rFonts w:hint="eastAsia" w:ascii="宋体" w:hAnsi="宋体" w:eastAsia="宋体" w:cs="宋体"/>
          <w:color w:val="auto"/>
          <w:highlight w:val="none"/>
        </w:rPr>
      </w:pPr>
    </w:p>
    <w:p w14:paraId="1E649916">
      <w:pPr>
        <w:pStyle w:val="12"/>
        <w:rPr>
          <w:rFonts w:hint="eastAsia" w:ascii="宋体" w:hAnsi="宋体" w:eastAsia="宋体" w:cs="宋体"/>
          <w:color w:val="auto"/>
          <w:highlight w:val="none"/>
        </w:rPr>
      </w:pPr>
    </w:p>
    <w:p w14:paraId="1451942C">
      <w:pPr>
        <w:rPr>
          <w:rFonts w:hint="eastAsia" w:ascii="宋体" w:hAnsi="宋体" w:eastAsia="宋体" w:cs="宋体"/>
          <w:color w:val="auto"/>
          <w:highlight w:val="none"/>
        </w:rPr>
      </w:pPr>
    </w:p>
    <w:p w14:paraId="18AE11C9">
      <w:pPr>
        <w:pStyle w:val="12"/>
        <w:rPr>
          <w:rFonts w:hint="eastAsia" w:ascii="宋体" w:hAnsi="宋体" w:eastAsia="宋体" w:cs="宋体"/>
          <w:color w:val="auto"/>
          <w:highlight w:val="none"/>
        </w:rPr>
      </w:pPr>
    </w:p>
    <w:p w14:paraId="68ED0F87">
      <w:pPr>
        <w:pStyle w:val="11"/>
        <w:spacing w:before="120" w:after="120" w:line="440" w:lineRule="exact"/>
        <w:rPr>
          <w:rFonts w:hint="eastAsia" w:ascii="宋体" w:hAnsi="宋体" w:eastAsia="宋体" w:cs="宋体"/>
          <w:b/>
          <w:color w:val="auto"/>
          <w:sz w:val="36"/>
          <w:szCs w:val="36"/>
          <w:highlight w:val="none"/>
        </w:rPr>
      </w:pPr>
    </w:p>
    <w:p w14:paraId="6979A121">
      <w:pPr>
        <w:jc w:val="center"/>
        <w:rPr>
          <w:rFonts w:hint="eastAsia" w:ascii="宋体" w:hAnsi="宋体" w:eastAsia="宋体" w:cs="宋体"/>
          <w:b/>
          <w:color w:val="auto"/>
          <w:sz w:val="36"/>
          <w:szCs w:val="36"/>
          <w:highlight w:val="none"/>
        </w:rPr>
        <w:sectPr>
          <w:pgSz w:w="11906" w:h="16838"/>
          <w:pgMar w:top="1440" w:right="1587" w:bottom="1440" w:left="1587" w:header="851" w:footer="907" w:gutter="0"/>
          <w:pgNumType w:fmt="decimal"/>
          <w:cols w:space="720" w:num="1"/>
          <w:docGrid w:linePitch="360" w:charSpace="0"/>
        </w:sectPr>
      </w:pPr>
    </w:p>
    <w:p w14:paraId="7A086131">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（六）特定资格要求的证明文件（如果本项目设置特定资格要求，则需要提供）</w:t>
      </w:r>
    </w:p>
    <w:p w14:paraId="599E6E97">
      <w:pPr>
        <w:jc w:val="center"/>
        <w:rPr>
          <w:rFonts w:hint="eastAsia" w:ascii="宋体" w:hAnsi="宋体" w:eastAsia="宋体" w:cs="宋体"/>
          <w:b/>
          <w:color w:val="auto"/>
          <w:sz w:val="36"/>
          <w:szCs w:val="36"/>
          <w:highlight w:val="none"/>
        </w:rPr>
      </w:pPr>
    </w:p>
    <w:p w14:paraId="3041B0C0">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如果本项目申请人的特定资格要求中要求提供的，必须提供。</w:t>
      </w:r>
    </w:p>
    <w:p w14:paraId="29E66CD3">
      <w:pPr>
        <w:jc w:val="center"/>
        <w:rPr>
          <w:rFonts w:hint="eastAsia" w:ascii="宋体" w:hAnsi="宋体" w:eastAsia="宋体" w:cs="宋体"/>
          <w:b/>
          <w:color w:val="auto"/>
          <w:sz w:val="36"/>
          <w:szCs w:val="36"/>
          <w:highlight w:val="none"/>
        </w:rPr>
      </w:pPr>
    </w:p>
    <w:p w14:paraId="155B8782">
      <w:pPr>
        <w:jc w:val="center"/>
        <w:rPr>
          <w:rFonts w:hint="eastAsia" w:ascii="宋体" w:hAnsi="宋体" w:eastAsia="宋体" w:cs="宋体"/>
          <w:b/>
          <w:color w:val="auto"/>
          <w:sz w:val="36"/>
          <w:szCs w:val="36"/>
          <w:highlight w:val="none"/>
        </w:rPr>
      </w:pPr>
    </w:p>
    <w:p w14:paraId="218D61BD">
      <w:pPr>
        <w:jc w:val="center"/>
        <w:rPr>
          <w:rFonts w:hint="eastAsia" w:ascii="宋体" w:hAnsi="宋体" w:eastAsia="宋体" w:cs="宋体"/>
          <w:b/>
          <w:color w:val="auto"/>
          <w:sz w:val="36"/>
          <w:szCs w:val="36"/>
          <w:highlight w:val="none"/>
        </w:rPr>
      </w:pPr>
    </w:p>
    <w:p w14:paraId="4C80DBF2">
      <w:pPr>
        <w:jc w:val="center"/>
        <w:rPr>
          <w:rFonts w:hint="eastAsia" w:ascii="宋体" w:hAnsi="宋体" w:eastAsia="宋体" w:cs="宋体"/>
          <w:b/>
          <w:color w:val="auto"/>
          <w:sz w:val="36"/>
          <w:szCs w:val="36"/>
          <w:highlight w:val="none"/>
        </w:rPr>
      </w:pPr>
    </w:p>
    <w:p w14:paraId="46CC2B37">
      <w:pPr>
        <w:jc w:val="center"/>
        <w:rPr>
          <w:rFonts w:hint="eastAsia" w:ascii="宋体" w:hAnsi="宋体" w:eastAsia="宋体" w:cs="宋体"/>
          <w:b/>
          <w:color w:val="auto"/>
          <w:sz w:val="36"/>
          <w:szCs w:val="36"/>
          <w:highlight w:val="none"/>
        </w:rPr>
      </w:pPr>
    </w:p>
    <w:p w14:paraId="700FD016">
      <w:pPr>
        <w:jc w:val="center"/>
        <w:rPr>
          <w:rFonts w:hint="eastAsia" w:ascii="宋体" w:hAnsi="宋体" w:eastAsia="宋体" w:cs="宋体"/>
          <w:b/>
          <w:color w:val="auto"/>
          <w:sz w:val="36"/>
          <w:szCs w:val="36"/>
          <w:highlight w:val="none"/>
        </w:rPr>
      </w:pPr>
    </w:p>
    <w:p w14:paraId="34FA302D">
      <w:pPr>
        <w:jc w:val="center"/>
        <w:rPr>
          <w:rFonts w:hint="eastAsia" w:ascii="宋体" w:hAnsi="宋体" w:eastAsia="宋体" w:cs="宋体"/>
          <w:b/>
          <w:color w:val="auto"/>
          <w:sz w:val="36"/>
          <w:szCs w:val="36"/>
          <w:highlight w:val="none"/>
        </w:rPr>
      </w:pPr>
    </w:p>
    <w:p w14:paraId="5FDF478C">
      <w:pPr>
        <w:jc w:val="center"/>
        <w:rPr>
          <w:rFonts w:hint="eastAsia" w:ascii="宋体" w:hAnsi="宋体" w:eastAsia="宋体" w:cs="宋体"/>
          <w:b/>
          <w:color w:val="auto"/>
          <w:sz w:val="36"/>
          <w:szCs w:val="36"/>
          <w:highlight w:val="none"/>
        </w:rPr>
      </w:pPr>
    </w:p>
    <w:p w14:paraId="1B942332">
      <w:pPr>
        <w:jc w:val="center"/>
        <w:rPr>
          <w:rFonts w:hint="eastAsia" w:ascii="宋体" w:hAnsi="宋体" w:eastAsia="宋体" w:cs="宋体"/>
          <w:b/>
          <w:color w:val="auto"/>
          <w:sz w:val="36"/>
          <w:szCs w:val="36"/>
          <w:highlight w:val="none"/>
        </w:rPr>
      </w:pPr>
    </w:p>
    <w:p w14:paraId="2E570F80">
      <w:pPr>
        <w:jc w:val="center"/>
        <w:rPr>
          <w:rFonts w:hint="eastAsia" w:ascii="宋体" w:hAnsi="宋体" w:eastAsia="宋体" w:cs="宋体"/>
          <w:b/>
          <w:color w:val="auto"/>
          <w:sz w:val="36"/>
          <w:szCs w:val="36"/>
          <w:highlight w:val="none"/>
        </w:rPr>
      </w:pPr>
    </w:p>
    <w:p w14:paraId="59137F9D">
      <w:pPr>
        <w:jc w:val="center"/>
        <w:rPr>
          <w:rFonts w:hint="eastAsia" w:ascii="宋体" w:hAnsi="宋体" w:eastAsia="宋体" w:cs="宋体"/>
          <w:b/>
          <w:color w:val="auto"/>
          <w:sz w:val="36"/>
          <w:szCs w:val="36"/>
          <w:highlight w:val="none"/>
        </w:rPr>
      </w:pPr>
    </w:p>
    <w:p w14:paraId="35992A7B">
      <w:pPr>
        <w:jc w:val="center"/>
        <w:rPr>
          <w:rFonts w:hint="eastAsia" w:ascii="宋体" w:hAnsi="宋体" w:eastAsia="宋体" w:cs="宋体"/>
          <w:b/>
          <w:color w:val="auto"/>
          <w:sz w:val="36"/>
          <w:szCs w:val="36"/>
          <w:highlight w:val="none"/>
        </w:rPr>
      </w:pPr>
    </w:p>
    <w:p w14:paraId="29E4C4E9">
      <w:pPr>
        <w:jc w:val="center"/>
        <w:rPr>
          <w:rFonts w:hint="eastAsia" w:ascii="宋体" w:hAnsi="宋体" w:eastAsia="宋体" w:cs="宋体"/>
          <w:b/>
          <w:color w:val="auto"/>
          <w:sz w:val="36"/>
          <w:szCs w:val="36"/>
          <w:highlight w:val="none"/>
        </w:rPr>
      </w:pPr>
    </w:p>
    <w:p w14:paraId="273F4D9D">
      <w:pPr>
        <w:jc w:val="center"/>
        <w:rPr>
          <w:rFonts w:hint="eastAsia" w:ascii="宋体" w:hAnsi="宋体" w:eastAsia="宋体" w:cs="宋体"/>
          <w:b/>
          <w:color w:val="auto"/>
          <w:sz w:val="36"/>
          <w:szCs w:val="36"/>
          <w:highlight w:val="none"/>
        </w:rPr>
      </w:pPr>
    </w:p>
    <w:p w14:paraId="1817CE6A">
      <w:pPr>
        <w:jc w:val="center"/>
        <w:rPr>
          <w:rFonts w:hint="eastAsia" w:ascii="宋体" w:hAnsi="宋体" w:eastAsia="宋体" w:cs="宋体"/>
          <w:b/>
          <w:color w:val="auto"/>
          <w:sz w:val="36"/>
          <w:szCs w:val="36"/>
          <w:highlight w:val="none"/>
        </w:rPr>
      </w:pPr>
    </w:p>
    <w:p w14:paraId="0E390932">
      <w:pPr>
        <w:jc w:val="center"/>
        <w:rPr>
          <w:rFonts w:hint="eastAsia" w:ascii="宋体" w:hAnsi="宋体" w:eastAsia="宋体" w:cs="宋体"/>
          <w:b/>
          <w:color w:val="auto"/>
          <w:sz w:val="36"/>
          <w:szCs w:val="36"/>
          <w:highlight w:val="none"/>
        </w:rPr>
      </w:pPr>
    </w:p>
    <w:p w14:paraId="5DE51D90">
      <w:pPr>
        <w:jc w:val="center"/>
        <w:rPr>
          <w:rFonts w:hint="eastAsia" w:ascii="宋体" w:hAnsi="宋体" w:eastAsia="宋体" w:cs="宋体"/>
          <w:b/>
          <w:color w:val="auto"/>
          <w:sz w:val="36"/>
          <w:szCs w:val="36"/>
          <w:highlight w:val="none"/>
        </w:rPr>
      </w:pPr>
    </w:p>
    <w:p w14:paraId="51C14877">
      <w:pPr>
        <w:jc w:val="center"/>
        <w:rPr>
          <w:rFonts w:hint="eastAsia" w:ascii="宋体" w:hAnsi="宋体" w:eastAsia="宋体" w:cs="宋体"/>
          <w:b/>
          <w:color w:val="auto"/>
          <w:sz w:val="36"/>
          <w:szCs w:val="36"/>
          <w:highlight w:val="none"/>
        </w:rPr>
      </w:pPr>
    </w:p>
    <w:p w14:paraId="767B8520">
      <w:pPr>
        <w:jc w:val="center"/>
        <w:rPr>
          <w:rFonts w:hint="eastAsia" w:ascii="宋体" w:hAnsi="宋体" w:eastAsia="宋体" w:cs="宋体"/>
          <w:b/>
          <w:color w:val="auto"/>
          <w:sz w:val="36"/>
          <w:szCs w:val="36"/>
          <w:highlight w:val="none"/>
        </w:rPr>
      </w:pPr>
    </w:p>
    <w:p w14:paraId="2ACF881E">
      <w:pPr>
        <w:jc w:val="center"/>
        <w:rPr>
          <w:rFonts w:hint="eastAsia" w:ascii="宋体" w:hAnsi="宋体" w:eastAsia="宋体" w:cs="宋体"/>
          <w:b/>
          <w:color w:val="auto"/>
          <w:sz w:val="36"/>
          <w:szCs w:val="36"/>
          <w:highlight w:val="none"/>
        </w:rPr>
      </w:pPr>
    </w:p>
    <w:p w14:paraId="25324786">
      <w:pPr>
        <w:jc w:val="center"/>
        <w:rPr>
          <w:rFonts w:hint="eastAsia" w:ascii="宋体" w:hAnsi="宋体" w:eastAsia="宋体" w:cs="宋体"/>
          <w:b/>
          <w:color w:val="auto"/>
          <w:sz w:val="36"/>
          <w:szCs w:val="36"/>
          <w:highlight w:val="none"/>
        </w:rPr>
      </w:pPr>
    </w:p>
    <w:p w14:paraId="321D0801">
      <w:pPr>
        <w:jc w:val="center"/>
        <w:rPr>
          <w:rFonts w:hint="eastAsia" w:ascii="宋体" w:hAnsi="宋体" w:eastAsia="宋体" w:cs="宋体"/>
          <w:b/>
          <w:color w:val="auto"/>
          <w:sz w:val="36"/>
          <w:szCs w:val="36"/>
          <w:highlight w:val="none"/>
        </w:rPr>
      </w:pPr>
    </w:p>
    <w:p w14:paraId="617C700A">
      <w:pPr>
        <w:jc w:val="center"/>
        <w:rPr>
          <w:rFonts w:hint="eastAsia" w:ascii="宋体" w:hAnsi="宋体" w:eastAsia="宋体" w:cs="宋体"/>
          <w:b/>
          <w:color w:val="auto"/>
          <w:sz w:val="36"/>
          <w:szCs w:val="36"/>
          <w:highlight w:val="none"/>
        </w:rPr>
      </w:pPr>
    </w:p>
    <w:p w14:paraId="1EB8E667">
      <w:pPr>
        <w:jc w:val="center"/>
        <w:rPr>
          <w:rFonts w:hint="eastAsia" w:ascii="宋体" w:hAnsi="宋体" w:eastAsia="宋体" w:cs="宋体"/>
          <w:b/>
          <w:color w:val="auto"/>
          <w:sz w:val="36"/>
          <w:szCs w:val="36"/>
          <w:highlight w:val="none"/>
        </w:rPr>
      </w:pPr>
    </w:p>
    <w:p w14:paraId="55184A10">
      <w:pPr>
        <w:jc w:val="center"/>
        <w:rPr>
          <w:rFonts w:hint="eastAsia" w:ascii="宋体" w:hAnsi="宋体" w:eastAsia="宋体" w:cs="宋体"/>
          <w:b/>
          <w:color w:val="auto"/>
          <w:sz w:val="36"/>
          <w:szCs w:val="36"/>
          <w:highlight w:val="none"/>
        </w:rPr>
      </w:pPr>
    </w:p>
    <w:p w14:paraId="0BDBAAC2">
      <w:pPr>
        <w:jc w:val="center"/>
        <w:rPr>
          <w:rFonts w:hint="eastAsia" w:ascii="宋体" w:hAnsi="宋体" w:eastAsia="宋体" w:cs="宋体"/>
          <w:b/>
          <w:color w:val="auto"/>
          <w:sz w:val="36"/>
          <w:szCs w:val="36"/>
          <w:highlight w:val="none"/>
        </w:rPr>
      </w:pPr>
    </w:p>
    <w:p w14:paraId="4671077F">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w:t>
      </w:r>
      <w:r>
        <w:rPr>
          <w:rFonts w:hint="eastAsia" w:ascii="宋体" w:hAnsi="宋体" w:eastAsia="宋体" w:cs="宋体"/>
          <w:b/>
          <w:color w:val="auto"/>
          <w:sz w:val="36"/>
          <w:szCs w:val="36"/>
          <w:highlight w:val="none"/>
          <w:lang w:val="en-US" w:eastAsia="zh-CN"/>
        </w:rPr>
        <w:t>七</w:t>
      </w:r>
      <w:r>
        <w:rPr>
          <w:rFonts w:hint="eastAsia" w:ascii="宋体" w:hAnsi="宋体" w:eastAsia="宋体" w:cs="宋体"/>
          <w:b/>
          <w:color w:val="auto"/>
          <w:sz w:val="36"/>
          <w:szCs w:val="36"/>
          <w:highlight w:val="none"/>
        </w:rPr>
        <w:t>）法定代表人身份证明书</w:t>
      </w:r>
    </w:p>
    <w:p w14:paraId="79396F4C">
      <w:pPr>
        <w:rPr>
          <w:rFonts w:hint="eastAsia" w:ascii="宋体" w:hAnsi="宋体" w:eastAsia="宋体" w:cs="宋体"/>
          <w:color w:val="auto"/>
          <w:sz w:val="32"/>
          <w:highlight w:val="none"/>
        </w:rPr>
      </w:pPr>
    </w:p>
    <w:p w14:paraId="2B6FA07C">
      <w:pPr>
        <w:rPr>
          <w:rFonts w:hint="eastAsia" w:ascii="宋体" w:hAnsi="宋体" w:eastAsia="宋体" w:cs="宋体"/>
          <w:color w:val="auto"/>
          <w:sz w:val="24"/>
          <w:highlight w:val="none"/>
        </w:rPr>
      </w:pPr>
    </w:p>
    <w:p w14:paraId="746C81D8">
      <w:pPr>
        <w:ind w:firstLine="96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u w:val="single"/>
        </w:rPr>
        <w:t xml:space="preserve">                                                  </w:t>
      </w:r>
    </w:p>
    <w:p w14:paraId="01BE42A5">
      <w:pPr>
        <w:rPr>
          <w:rFonts w:hint="eastAsia" w:ascii="宋体" w:hAnsi="宋体" w:eastAsia="宋体" w:cs="宋体"/>
          <w:color w:val="auto"/>
          <w:sz w:val="24"/>
          <w:highlight w:val="none"/>
          <w:u w:val="single"/>
        </w:rPr>
      </w:pPr>
    </w:p>
    <w:p w14:paraId="7B0F5B20">
      <w:pPr>
        <w:ind w:firstLine="960"/>
        <w:rPr>
          <w:rFonts w:hint="eastAsia" w:ascii="宋体" w:hAnsi="宋体" w:eastAsia="宋体" w:cs="宋体"/>
          <w:color w:val="auto"/>
          <w:sz w:val="24"/>
          <w:highlight w:val="none"/>
        </w:rPr>
      </w:pPr>
      <w:r>
        <w:rPr>
          <w:rFonts w:hint="eastAsia" w:ascii="宋体" w:hAnsi="宋体" w:eastAsia="宋体" w:cs="宋体"/>
          <w:color w:val="auto"/>
          <w:sz w:val="24"/>
          <w:highlight w:val="none"/>
        </w:rPr>
        <w:t>单位性质：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1727DAC2">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w:t>
      </w:r>
    </w:p>
    <w:p w14:paraId="6EFFFFE4">
      <w:pPr>
        <w:ind w:firstLine="96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 xml:space="preserve">                                                 </w:t>
      </w:r>
    </w:p>
    <w:p w14:paraId="6E08CF9A">
      <w:pPr>
        <w:rPr>
          <w:rFonts w:hint="eastAsia" w:ascii="宋体" w:hAnsi="宋体" w:eastAsia="宋体" w:cs="宋体"/>
          <w:color w:val="auto"/>
          <w:sz w:val="24"/>
          <w:highlight w:val="none"/>
          <w:u w:val="single"/>
        </w:rPr>
      </w:pPr>
    </w:p>
    <w:p w14:paraId="631137DC">
      <w:pPr>
        <w:ind w:firstLine="960"/>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p>
    <w:p w14:paraId="2698E8F0">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532CF5E2">
      <w:pPr>
        <w:ind w:firstLine="96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经营期限：</w:t>
      </w:r>
      <w:r>
        <w:rPr>
          <w:rFonts w:hint="eastAsia" w:ascii="宋体" w:hAnsi="宋体" w:eastAsia="宋体" w:cs="宋体"/>
          <w:color w:val="auto"/>
          <w:sz w:val="24"/>
          <w:highlight w:val="none"/>
          <w:u w:val="single"/>
        </w:rPr>
        <w:t xml:space="preserve">                                        </w:t>
      </w:r>
    </w:p>
    <w:p w14:paraId="7EE1CFDD">
      <w:pPr>
        <w:rPr>
          <w:rFonts w:hint="eastAsia" w:ascii="宋体" w:hAnsi="宋体" w:eastAsia="宋体" w:cs="宋体"/>
          <w:color w:val="auto"/>
          <w:sz w:val="24"/>
          <w:highlight w:val="none"/>
          <w:u w:val="single"/>
        </w:rPr>
      </w:pPr>
    </w:p>
    <w:p w14:paraId="37F05FA6">
      <w:pPr>
        <w:ind w:left="3598" w:hanging="276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身份证号：</w:t>
      </w:r>
      <w:r>
        <w:rPr>
          <w:rFonts w:hint="eastAsia" w:ascii="宋体" w:hAnsi="宋体" w:eastAsia="宋体" w:cs="宋体"/>
          <w:color w:val="auto"/>
          <w:sz w:val="24"/>
          <w:highlight w:val="none"/>
          <w:u w:val="single"/>
        </w:rPr>
        <w:t xml:space="preserve">                      </w:t>
      </w:r>
    </w:p>
    <w:p w14:paraId="1B9241A4">
      <w:pPr>
        <w:rPr>
          <w:rFonts w:hint="eastAsia" w:ascii="宋体" w:hAnsi="宋体" w:eastAsia="宋体" w:cs="宋体"/>
          <w:color w:val="auto"/>
          <w:sz w:val="24"/>
          <w:highlight w:val="none"/>
        </w:rPr>
      </w:pPr>
    </w:p>
    <w:p w14:paraId="54ECFE5A">
      <w:pPr>
        <w:ind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（投标单位名称)</w:t>
      </w:r>
      <w:r>
        <w:rPr>
          <w:rFonts w:hint="eastAsia" w:ascii="宋体" w:hAnsi="宋体" w:eastAsia="宋体" w:cs="宋体"/>
          <w:color w:val="auto"/>
          <w:sz w:val="24"/>
          <w:highlight w:val="none"/>
        </w:rPr>
        <w:t>的法定代表人或单位负责人。</w:t>
      </w:r>
    </w:p>
    <w:p w14:paraId="22E6B15E">
      <w:pPr>
        <w:rPr>
          <w:rFonts w:hint="eastAsia" w:ascii="宋体" w:hAnsi="宋体" w:eastAsia="宋体" w:cs="宋体"/>
          <w:color w:val="auto"/>
          <w:sz w:val="24"/>
          <w:highlight w:val="none"/>
        </w:rPr>
      </w:pPr>
    </w:p>
    <w:p w14:paraId="072F217E">
      <w:pPr>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3624970C">
      <w:pPr>
        <w:rPr>
          <w:rFonts w:hint="eastAsia" w:ascii="宋体" w:hAnsi="宋体" w:eastAsia="宋体" w:cs="宋体"/>
          <w:color w:val="auto"/>
          <w:sz w:val="24"/>
          <w:highlight w:val="none"/>
        </w:rPr>
      </w:pPr>
    </w:p>
    <w:p w14:paraId="34C36AA5">
      <w:pPr>
        <w:ind w:firstLine="444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投标单位(公章) ：</w:t>
      </w:r>
      <w:r>
        <w:rPr>
          <w:rFonts w:hint="eastAsia" w:ascii="宋体" w:hAnsi="宋体" w:eastAsia="宋体" w:cs="宋体"/>
          <w:color w:val="auto"/>
          <w:sz w:val="24"/>
          <w:highlight w:val="none"/>
          <w:u w:val="single"/>
        </w:rPr>
        <w:t xml:space="preserve">                </w:t>
      </w:r>
    </w:p>
    <w:p w14:paraId="47DF1A20">
      <w:pPr>
        <w:rPr>
          <w:rFonts w:hint="eastAsia" w:ascii="宋体" w:hAnsi="宋体" w:eastAsia="宋体" w:cs="宋体"/>
          <w:color w:val="auto"/>
          <w:sz w:val="24"/>
          <w:highlight w:val="none"/>
          <w:u w:val="single"/>
        </w:rPr>
      </w:pPr>
    </w:p>
    <w:p w14:paraId="54FA23D4">
      <w:pPr>
        <w:rPr>
          <w:rFonts w:hint="eastAsia" w:ascii="宋体" w:hAnsi="宋体" w:eastAsia="宋体" w:cs="宋体"/>
          <w:color w:val="auto"/>
          <w:sz w:val="24"/>
          <w:highlight w:val="none"/>
          <w:u w:val="single"/>
        </w:rPr>
      </w:pPr>
    </w:p>
    <w:p w14:paraId="1B3D4C91">
      <w:pPr>
        <w:ind w:firstLine="444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19AF1445">
      <w:pPr>
        <w:pStyle w:val="11"/>
        <w:spacing w:before="120" w:after="120" w:line="440" w:lineRule="exact"/>
        <w:ind w:firstLine="253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lang w:eastAsia="zh-CN"/>
        </w:rPr>
        <w:t>（</w:t>
      </w:r>
      <w:r>
        <w:rPr>
          <w:rFonts w:hint="eastAsia" w:hAnsi="宋体" w:eastAsia="宋体" w:cs="宋体"/>
          <w:b/>
          <w:color w:val="auto"/>
          <w:sz w:val="36"/>
          <w:szCs w:val="36"/>
          <w:highlight w:val="none"/>
          <w:lang w:val="en-US" w:eastAsia="zh-CN"/>
        </w:rPr>
        <w:t>八</w:t>
      </w:r>
      <w:r>
        <w:rPr>
          <w:rFonts w:hint="eastAsia" w:ascii="宋体" w:hAnsi="宋体" w:eastAsia="宋体" w:cs="宋体"/>
          <w:b/>
          <w:color w:val="auto"/>
          <w:sz w:val="36"/>
          <w:szCs w:val="36"/>
          <w:highlight w:val="none"/>
          <w:lang w:eastAsia="zh-CN"/>
        </w:rPr>
        <w:t>）</w:t>
      </w:r>
      <w:r>
        <w:rPr>
          <w:rFonts w:hint="eastAsia" w:ascii="宋体" w:hAnsi="宋体" w:eastAsia="宋体" w:cs="宋体"/>
          <w:b/>
          <w:color w:val="auto"/>
          <w:sz w:val="36"/>
          <w:szCs w:val="36"/>
          <w:highlight w:val="none"/>
        </w:rPr>
        <w:t>法定代表人授权委托书</w:t>
      </w:r>
    </w:p>
    <w:p w14:paraId="6CA95A61">
      <w:pPr>
        <w:rPr>
          <w:rFonts w:hint="eastAsia" w:ascii="宋体" w:hAnsi="宋体" w:eastAsia="宋体" w:cs="宋体"/>
          <w:color w:val="auto"/>
          <w:highlight w:val="none"/>
        </w:rPr>
      </w:pPr>
    </w:p>
    <w:p w14:paraId="37FD27BC">
      <w:pPr>
        <w:rPr>
          <w:rFonts w:hint="eastAsia" w:ascii="宋体" w:hAnsi="宋体" w:eastAsia="宋体" w:cs="宋体"/>
          <w:color w:val="auto"/>
          <w:highlight w:val="none"/>
        </w:rPr>
      </w:pPr>
    </w:p>
    <w:p w14:paraId="05EA31BD">
      <w:pPr>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本授权委托书声明：我</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（姓名）系</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（投标人名称）的法定代表人或单位负责人，现授权委托</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（姓名）为我的代理人，以本公司的名义参加</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的投标活动。代理人在开标、</w:t>
      </w:r>
      <w:r>
        <w:rPr>
          <w:rFonts w:hint="eastAsia" w:ascii="宋体" w:hAnsi="宋体" w:eastAsia="宋体" w:cs="宋体"/>
          <w:color w:val="auto"/>
          <w:sz w:val="24"/>
          <w:highlight w:val="none"/>
          <w:lang w:val="en-US" w:eastAsia="zh-CN"/>
        </w:rPr>
        <w:t>评</w:t>
      </w:r>
      <w:r>
        <w:rPr>
          <w:rFonts w:hint="eastAsia" w:ascii="宋体" w:hAnsi="宋体" w:eastAsia="宋体" w:cs="宋体"/>
          <w:color w:val="auto"/>
          <w:sz w:val="24"/>
          <w:highlight w:val="none"/>
        </w:rPr>
        <w:t>标、合同谈判等过程中所签署的一切文件和处理与之有关的一切事务，我均予以承认。</w:t>
      </w:r>
    </w:p>
    <w:p w14:paraId="0482DC5B">
      <w:pPr>
        <w:spacing w:line="500" w:lineRule="exact"/>
        <w:rPr>
          <w:rFonts w:hint="eastAsia" w:ascii="宋体" w:hAnsi="宋体" w:eastAsia="宋体" w:cs="宋体"/>
          <w:color w:val="auto"/>
          <w:sz w:val="24"/>
          <w:highlight w:val="none"/>
        </w:rPr>
      </w:pPr>
    </w:p>
    <w:p w14:paraId="2B4C477B">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代理人无转委权，特此委托。</w:t>
      </w:r>
    </w:p>
    <w:p w14:paraId="285F0AE8">
      <w:pPr>
        <w:spacing w:line="500" w:lineRule="exact"/>
        <w:rPr>
          <w:rFonts w:hint="eastAsia" w:ascii="宋体" w:hAnsi="宋体" w:eastAsia="宋体" w:cs="宋体"/>
          <w:color w:val="auto"/>
          <w:sz w:val="24"/>
          <w:highlight w:val="none"/>
        </w:rPr>
      </w:pPr>
    </w:p>
    <w:p w14:paraId="61323C39">
      <w:pPr>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　　　　      代理人联系电话（手机号）：　　     　　</w:t>
      </w:r>
    </w:p>
    <w:p w14:paraId="5F3D3DA8">
      <w:pPr>
        <w:spacing w:line="500" w:lineRule="exact"/>
        <w:ind w:firstLine="480"/>
        <w:jc w:val="left"/>
        <w:rPr>
          <w:rFonts w:hint="eastAsia" w:ascii="宋体" w:hAnsi="宋体" w:eastAsia="宋体" w:cs="宋体"/>
          <w:color w:val="auto"/>
          <w:sz w:val="24"/>
          <w:highlight w:val="none"/>
        </w:rPr>
      </w:pPr>
    </w:p>
    <w:p w14:paraId="4B7345E6">
      <w:pPr>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投标人(法人印章)：</w:t>
      </w:r>
    </w:p>
    <w:p w14:paraId="204D69AA">
      <w:pPr>
        <w:spacing w:line="500" w:lineRule="exact"/>
        <w:ind w:firstLine="480"/>
        <w:jc w:val="left"/>
        <w:rPr>
          <w:rFonts w:hint="eastAsia" w:ascii="宋体" w:hAnsi="宋体" w:eastAsia="宋体" w:cs="宋体"/>
          <w:color w:val="auto"/>
          <w:sz w:val="24"/>
          <w:highlight w:val="none"/>
        </w:rPr>
      </w:pPr>
    </w:p>
    <w:p w14:paraId="54DB61D1">
      <w:pPr>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法定代表人(印章或签</w:t>
      </w:r>
      <w:r>
        <w:rPr>
          <w:rFonts w:hint="eastAsia" w:ascii="宋体" w:hAnsi="宋体" w:eastAsia="宋体" w:cs="宋体"/>
          <w:bCs/>
          <w:color w:val="auto"/>
          <w:sz w:val="24"/>
          <w:highlight w:val="none"/>
        </w:rPr>
        <w:t>名</w:t>
      </w:r>
      <w:r>
        <w:rPr>
          <w:rFonts w:hint="eastAsia" w:ascii="宋体" w:hAnsi="宋体" w:eastAsia="宋体" w:cs="宋体"/>
          <w:color w:val="auto"/>
          <w:sz w:val="24"/>
          <w:highlight w:val="none"/>
        </w:rPr>
        <w:t>)：</w:t>
      </w:r>
    </w:p>
    <w:p w14:paraId="7F447E91">
      <w:pPr>
        <w:rPr>
          <w:rFonts w:hint="eastAsia" w:ascii="宋体" w:hAnsi="宋体" w:eastAsia="宋体" w:cs="宋体"/>
          <w:color w:val="auto"/>
          <w:sz w:val="24"/>
          <w:highlight w:val="none"/>
        </w:rPr>
      </w:pPr>
    </w:p>
    <w:p w14:paraId="01B8733F">
      <w:pPr>
        <w:spacing w:after="161" w:line="480" w:lineRule="exact"/>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bCs/>
          <w:color w:val="auto"/>
          <w:sz w:val="24"/>
          <w:highlight w:val="none"/>
        </w:rPr>
        <w:t>年    月   日</w:t>
      </w:r>
    </w:p>
    <w:p w14:paraId="1C29E106">
      <w:pPr>
        <w:rPr>
          <w:rFonts w:hint="eastAsia" w:ascii="宋体" w:hAnsi="宋体" w:eastAsia="宋体" w:cs="宋体"/>
          <w:color w:val="auto"/>
          <w:sz w:val="24"/>
          <w:highlight w:val="none"/>
        </w:rPr>
      </w:pPr>
      <w:r>
        <w:rPr>
          <w:rFonts w:hint="eastAsia" w:ascii="宋体" w:hAnsi="宋体" w:eastAsia="宋体" w:cs="宋体"/>
          <w:color w:val="auto"/>
          <w:sz w:val="24"/>
          <w:highlight w:val="none"/>
        </w:rPr>
        <w:t>附：</w:t>
      </w:r>
    </w:p>
    <w:tbl>
      <w:tblPr>
        <w:tblStyle w:val="18"/>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3"/>
      </w:tblGrid>
      <w:tr w14:paraId="5EF00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0" w:hRule="atLeast"/>
        </w:trPr>
        <w:tc>
          <w:tcPr>
            <w:tcW w:w="7893" w:type="dxa"/>
            <w:vAlign w:val="center"/>
          </w:tcPr>
          <w:p w14:paraId="0DAA724F">
            <w:pPr>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（代理人身份证扫描件粘贴处）</w:t>
            </w:r>
          </w:p>
        </w:tc>
      </w:tr>
    </w:tbl>
    <w:p w14:paraId="38D5B8BC">
      <w:pPr>
        <w:spacing w:before="50" w:after="50"/>
        <w:jc w:val="center"/>
        <w:rPr>
          <w:rFonts w:hint="eastAsia" w:ascii="宋体" w:hAnsi="宋体" w:eastAsia="宋体" w:cs="宋体"/>
          <w:b/>
          <w:color w:val="auto"/>
          <w:sz w:val="36"/>
          <w:szCs w:val="36"/>
          <w:highlight w:val="none"/>
        </w:rPr>
        <w:sectPr>
          <w:pgSz w:w="11906" w:h="16838"/>
          <w:pgMar w:top="1440" w:right="1587" w:bottom="1440" w:left="1587" w:header="851" w:footer="907" w:gutter="0"/>
          <w:pgNumType w:fmt="decimal"/>
          <w:cols w:space="720" w:num="1"/>
          <w:docGrid w:linePitch="360" w:charSpace="0"/>
        </w:sectPr>
      </w:pPr>
      <w:r>
        <w:rPr>
          <w:rFonts w:hint="eastAsia" w:ascii="宋体" w:hAnsi="宋体" w:eastAsia="宋体" w:cs="宋体"/>
          <w:b/>
          <w:color w:val="auto"/>
          <w:sz w:val="36"/>
          <w:szCs w:val="36"/>
          <w:highlight w:val="none"/>
        </w:rPr>
        <w:br w:type="page" w:clear="all"/>
      </w:r>
    </w:p>
    <w:p w14:paraId="7A1CC422">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w:t>
      </w:r>
      <w:r>
        <w:rPr>
          <w:rFonts w:hint="eastAsia" w:ascii="宋体" w:hAnsi="宋体" w:eastAsia="宋体" w:cs="宋体"/>
          <w:b/>
          <w:color w:val="auto"/>
          <w:sz w:val="36"/>
          <w:szCs w:val="36"/>
          <w:highlight w:val="none"/>
          <w:lang w:val="en-US" w:eastAsia="zh-CN"/>
        </w:rPr>
        <w:t>九</w:t>
      </w:r>
      <w:r>
        <w:rPr>
          <w:rFonts w:hint="eastAsia" w:ascii="宋体" w:hAnsi="宋体" w:eastAsia="宋体" w:cs="宋体"/>
          <w:b/>
          <w:color w:val="auto"/>
          <w:sz w:val="36"/>
          <w:szCs w:val="36"/>
          <w:highlight w:val="none"/>
        </w:rPr>
        <w:t>）投标函</w:t>
      </w:r>
    </w:p>
    <w:p w14:paraId="3C9D4343">
      <w:pPr>
        <w:pStyle w:val="11"/>
        <w:spacing w:before="120" w:after="120"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采购人：</w:t>
      </w:r>
      <w:r>
        <w:rPr>
          <w:rFonts w:hint="eastAsia" w:ascii="宋体" w:hAnsi="宋体" w:eastAsia="宋体" w:cs="宋体"/>
          <w:b/>
          <w:bCs/>
          <w:color w:val="auto"/>
          <w:sz w:val="24"/>
          <w:highlight w:val="none"/>
          <w:u w:val="single"/>
        </w:rPr>
        <w:t xml:space="preserve">                       </w:t>
      </w:r>
    </w:p>
    <w:p w14:paraId="782A455E">
      <w:pPr>
        <w:pStyle w:val="2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根据贵方的</w:t>
      </w:r>
      <w:r>
        <w:rPr>
          <w:rFonts w:hint="eastAsia" w:ascii="宋体" w:hAnsi="宋体" w:eastAsia="宋体" w:cs="宋体"/>
          <w:b/>
          <w:color w:val="auto"/>
          <w:sz w:val="36"/>
          <w:highlight w:val="none"/>
          <w:u w:val="single"/>
        </w:rPr>
        <w:t xml:space="preserve">           </w:t>
      </w:r>
      <w:r>
        <w:rPr>
          <w:rFonts w:hint="eastAsia" w:ascii="宋体" w:hAnsi="宋体" w:eastAsia="宋体" w:cs="宋体"/>
          <w:color w:val="auto"/>
          <w:szCs w:val="21"/>
          <w:highlight w:val="none"/>
        </w:rPr>
        <w:t>号招标文件，正式授权下述签字人____________(姓名)代表我方______________（投标人的名称），全权处理本次项目投标的有关事宜。</w:t>
      </w:r>
    </w:p>
    <w:p w14:paraId="08B413CC">
      <w:pPr>
        <w:pStyle w:val="2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据此函，__________签字人兹宣布同意如下：</w:t>
      </w:r>
    </w:p>
    <w:p w14:paraId="7F683B44">
      <w:pPr>
        <w:pStyle w:val="2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1.按招标文件规定的各项要求，向买方提供所需货物与服务。</w:t>
      </w:r>
    </w:p>
    <w:p w14:paraId="5CB6AED1">
      <w:pPr>
        <w:pStyle w:val="2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2.我们完全理解贵方不一定将合同授予最低报价的投标人。</w:t>
      </w:r>
    </w:p>
    <w:p w14:paraId="675D5F5D">
      <w:pPr>
        <w:pStyle w:val="2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3.我们已详细审核全部招标文件及其有效补充文件，我们知道必须放弃提出含糊不清或误解问题的权利。</w:t>
      </w:r>
    </w:p>
    <w:p w14:paraId="04207204">
      <w:pPr>
        <w:pStyle w:val="2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4.我们同意从规定的开标日期起遵循本投标文件，并在规定的投标有效期期满之前均具有约束力。</w:t>
      </w:r>
    </w:p>
    <w:p w14:paraId="6BC2C743">
      <w:pPr>
        <w:pStyle w:val="2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5.如果在开标后规定的投标有效期内撤回投标或中标后拒绝签订合同，则按照国家相关法律法规受到相应处罚。</w:t>
      </w:r>
    </w:p>
    <w:p w14:paraId="2A633DF1">
      <w:pPr>
        <w:pStyle w:val="2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6.同意向贵方提供贵方可能另外要求的与投标有关的任何证据或资料，并保证我方已提供和将要提供的文件是真实的、准确的。</w:t>
      </w:r>
    </w:p>
    <w:p w14:paraId="3C4C0FE8">
      <w:pPr>
        <w:pStyle w:val="2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7.一旦我方中标,我方将根据招标文件的规定，严格履行合同的责任和义务,并保证在招标文件规定的时间完成项目，交付买方验收、使用。</w:t>
      </w:r>
    </w:p>
    <w:p w14:paraId="4D0B0A74">
      <w:pPr>
        <w:pStyle w:val="24"/>
        <w:spacing w:before="0" w:after="0" w:line="420" w:lineRule="exact"/>
        <w:ind w:left="425" w:firstLine="0"/>
        <w:rPr>
          <w:rFonts w:hint="eastAsia" w:ascii="宋体" w:hAnsi="宋体" w:eastAsia="宋体" w:cs="宋体"/>
          <w:color w:val="auto"/>
          <w:szCs w:val="21"/>
          <w:highlight w:val="none"/>
        </w:rPr>
      </w:pPr>
      <w:r>
        <w:rPr>
          <w:rFonts w:hint="eastAsia" w:ascii="宋体" w:hAnsi="宋体" w:eastAsia="宋体" w:cs="宋体"/>
          <w:color w:val="auto"/>
          <w:szCs w:val="21"/>
          <w:highlight w:val="none"/>
        </w:rPr>
        <w:t>8.与本投标有关的正式通讯地址为：</w:t>
      </w:r>
    </w:p>
    <w:p w14:paraId="3B9CCF72">
      <w:pPr>
        <w:pStyle w:val="2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p>
    <w:p w14:paraId="09CF10F3">
      <w:pPr>
        <w:pStyle w:val="2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w:t>
      </w:r>
    </w:p>
    <w:p w14:paraId="67C9E728">
      <w:pPr>
        <w:pStyle w:val="2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p>
    <w:p w14:paraId="47B5E22A">
      <w:pPr>
        <w:pStyle w:val="2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p>
    <w:p w14:paraId="27B25008">
      <w:pPr>
        <w:pStyle w:val="2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投标人开户行：</w:t>
      </w:r>
    </w:p>
    <w:p w14:paraId="7EB51686">
      <w:pPr>
        <w:pStyle w:val="2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户： </w:t>
      </w:r>
    </w:p>
    <w:p w14:paraId="042E07CC">
      <w:pPr>
        <w:pStyle w:val="2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投标人授权代理人姓名（签</w:t>
      </w:r>
      <w:r>
        <w:rPr>
          <w:rFonts w:hint="eastAsia" w:ascii="宋体" w:hAnsi="宋体" w:eastAsia="宋体" w:cs="宋体"/>
          <w:bCs/>
          <w:color w:val="auto"/>
          <w:highlight w:val="none"/>
        </w:rPr>
        <w:t>名</w:t>
      </w:r>
      <w:r>
        <w:rPr>
          <w:rFonts w:hint="eastAsia" w:ascii="宋体" w:hAnsi="宋体" w:eastAsia="宋体" w:cs="宋体"/>
          <w:color w:val="auto"/>
          <w:szCs w:val="21"/>
          <w:highlight w:val="none"/>
        </w:rPr>
        <w:t xml:space="preserve">）： </w:t>
      </w:r>
    </w:p>
    <w:p w14:paraId="74EDCCFC">
      <w:pPr>
        <w:pStyle w:val="2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投标人名称（公章）： </w:t>
      </w:r>
    </w:p>
    <w:p w14:paraId="61DDE25F">
      <w:pPr>
        <w:pStyle w:val="2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期：________年____月____日</w:t>
      </w:r>
    </w:p>
    <w:p w14:paraId="1842360C">
      <w:pPr>
        <w:jc w:val="center"/>
        <w:rPr>
          <w:rFonts w:hint="eastAsia" w:ascii="宋体" w:hAnsi="宋体" w:eastAsia="宋体" w:cs="宋体"/>
          <w:b/>
          <w:color w:val="auto"/>
          <w:sz w:val="36"/>
          <w:szCs w:val="36"/>
          <w:highlight w:val="none"/>
        </w:rPr>
      </w:pPr>
    </w:p>
    <w:p w14:paraId="3F20348A">
      <w:pPr>
        <w:spacing w:before="50" w:after="50"/>
        <w:jc w:val="center"/>
        <w:rPr>
          <w:rFonts w:hint="eastAsia" w:ascii="宋体" w:hAnsi="宋体" w:eastAsia="宋体" w:cs="宋体"/>
          <w:b/>
          <w:color w:val="auto"/>
          <w:sz w:val="36"/>
          <w:szCs w:val="36"/>
          <w:highlight w:val="none"/>
        </w:rPr>
        <w:sectPr>
          <w:pgSz w:w="11906" w:h="16838"/>
          <w:pgMar w:top="1440" w:right="1587" w:bottom="1440" w:left="1587" w:header="851" w:footer="907" w:gutter="0"/>
          <w:pgNumType w:fmt="decimal"/>
          <w:cols w:space="720" w:num="1"/>
          <w:docGrid w:linePitch="360" w:charSpace="0"/>
        </w:sectPr>
      </w:pPr>
    </w:p>
    <w:p w14:paraId="518C653A">
      <w:pPr>
        <w:spacing w:line="520" w:lineRule="exact"/>
        <w:jc w:val="center"/>
        <w:rPr>
          <w:rFonts w:hint="eastAsia" w:ascii="宋体" w:hAnsi="宋体" w:eastAsia="宋体" w:cs="宋体"/>
          <w:color w:val="auto"/>
          <w:highlight w:val="none"/>
        </w:rPr>
      </w:pPr>
    </w:p>
    <w:p w14:paraId="12144CC5">
      <w:pPr>
        <w:pStyle w:val="12"/>
        <w:rPr>
          <w:rFonts w:hint="eastAsia" w:ascii="宋体" w:hAnsi="宋体" w:eastAsia="宋体" w:cs="宋体"/>
          <w:color w:val="auto"/>
          <w:highlight w:val="none"/>
        </w:rPr>
      </w:pPr>
    </w:p>
    <w:p w14:paraId="2FD1EE38">
      <w:pPr>
        <w:widowControl/>
        <w:spacing w:line="500" w:lineRule="exac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w:t>
      </w:r>
      <w:r>
        <w:rPr>
          <w:rFonts w:hint="eastAsia" w:ascii="宋体" w:hAnsi="宋体" w:eastAsia="宋体" w:cs="宋体"/>
          <w:b/>
          <w:color w:val="auto"/>
          <w:sz w:val="36"/>
          <w:szCs w:val="36"/>
          <w:highlight w:val="none"/>
          <w:lang w:val="en-US" w:eastAsia="zh-CN"/>
        </w:rPr>
        <w:t>十</w:t>
      </w:r>
      <w:r>
        <w:rPr>
          <w:rFonts w:hint="eastAsia" w:ascii="宋体" w:hAnsi="宋体" w:eastAsia="宋体" w:cs="宋体"/>
          <w:b/>
          <w:color w:val="auto"/>
          <w:sz w:val="36"/>
          <w:szCs w:val="36"/>
          <w:highlight w:val="none"/>
        </w:rPr>
        <w:t>）中小企业声明函（服务）</w:t>
      </w:r>
    </w:p>
    <w:p w14:paraId="23ACAD37">
      <w:pPr>
        <w:spacing w:line="560" w:lineRule="exact"/>
        <w:rPr>
          <w:rFonts w:hint="eastAsia" w:ascii="宋体" w:hAnsi="宋体" w:eastAsia="宋体" w:cs="宋体"/>
          <w:b/>
          <w:bCs/>
          <w:color w:val="auto"/>
          <w:sz w:val="28"/>
          <w:szCs w:val="28"/>
          <w:highlight w:val="none"/>
        </w:rPr>
      </w:pPr>
    </w:p>
    <w:p w14:paraId="327DECC6">
      <w:pPr>
        <w:widowControl/>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 号）的规定，本公司参加（单位名称）的（项目名称）采购活动，工程的施工单位全部为符合政策要求的中小企业（或者：服务全部由符合政策要求的中小企业承接）。相关企业（含签订</w:t>
      </w:r>
      <w:r>
        <w:rPr>
          <w:rFonts w:hint="eastAsia" w:ascii="宋体" w:hAnsi="宋体" w:eastAsia="宋体" w:cs="宋体"/>
          <w:color w:val="auto"/>
          <w:sz w:val="24"/>
          <w:szCs w:val="24"/>
          <w:highlight w:val="none"/>
          <w:lang w:eastAsia="zh-CN"/>
        </w:rPr>
        <w:t>标段</w:t>
      </w:r>
      <w:r>
        <w:rPr>
          <w:rFonts w:hint="eastAsia" w:ascii="宋体" w:hAnsi="宋体" w:eastAsia="宋体" w:cs="宋体"/>
          <w:color w:val="auto"/>
          <w:sz w:val="24"/>
          <w:szCs w:val="24"/>
          <w:highlight w:val="none"/>
        </w:rPr>
        <w:t>意向协议的中小企业）的具体情况如下：</w:t>
      </w:r>
    </w:p>
    <w:p w14:paraId="23F140F2">
      <w:pPr>
        <w:widowControl/>
        <w:numPr>
          <w:ilvl w:val="0"/>
          <w:numId w:val="5"/>
        </w:numPr>
        <w:ind w:firstLine="480"/>
        <w:jc w:val="lef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i/>
          <w:iCs/>
          <w:color w:val="auto"/>
          <w:sz w:val="24"/>
          <w:szCs w:val="24"/>
          <w:highlight w:val="none"/>
          <w:u w:val="single"/>
        </w:rPr>
        <w:t>其他未列明</w:t>
      </w:r>
      <w:r>
        <w:rPr>
          <w:rFonts w:hint="eastAsia" w:ascii="宋体" w:hAnsi="宋体" w:eastAsia="宋体" w:cs="宋体"/>
          <w:color w:val="auto"/>
          <w:sz w:val="24"/>
          <w:szCs w:val="24"/>
          <w:highlight w:val="none"/>
        </w:rPr>
        <w:t>行业；承接（承接）企业为</w:t>
      </w:r>
      <w:r>
        <w:rPr>
          <w:rFonts w:hint="eastAsia" w:ascii="宋体" w:hAnsi="宋体" w:eastAsia="宋体" w:cs="宋体"/>
          <w:i/>
          <w:iCs/>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i/>
          <w:iCs/>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795555A8">
      <w:pPr>
        <w:widowControl/>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59C414C0">
      <w:pPr>
        <w:widowControl/>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525CFA5E">
      <w:pPr>
        <w:widowControl/>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53FDC236">
      <w:pPr>
        <w:widowControl/>
        <w:ind w:firstLine="40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49107832">
      <w:pPr>
        <w:widowControl/>
        <w:ind w:firstLine="40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17DFE331">
      <w:pPr>
        <w:spacing w:line="56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从业人员、营业收入、资产总额填报上一年度数据，无上一年度数据的新成立企业可不填报。</w:t>
      </w:r>
    </w:p>
    <w:p w14:paraId="031B9E27">
      <w:pPr>
        <w:jc w:val="center"/>
        <w:rPr>
          <w:rFonts w:hint="eastAsia" w:ascii="宋体" w:hAnsi="宋体" w:eastAsia="宋体" w:cs="宋体"/>
          <w:b/>
          <w:color w:val="auto"/>
          <w:sz w:val="36"/>
          <w:szCs w:val="36"/>
          <w:highlight w:val="none"/>
        </w:rPr>
      </w:pPr>
    </w:p>
    <w:p w14:paraId="558EFF5B">
      <w:pPr>
        <w:jc w:val="center"/>
        <w:rPr>
          <w:rFonts w:hint="eastAsia" w:ascii="宋体" w:hAnsi="宋体" w:eastAsia="宋体" w:cs="宋体"/>
          <w:b/>
          <w:color w:val="auto"/>
          <w:sz w:val="36"/>
          <w:szCs w:val="36"/>
          <w:highlight w:val="none"/>
        </w:rPr>
      </w:pPr>
    </w:p>
    <w:p w14:paraId="69E720F2">
      <w:pPr>
        <w:jc w:val="center"/>
        <w:rPr>
          <w:rFonts w:hint="eastAsia" w:ascii="宋体" w:hAnsi="宋体" w:eastAsia="宋体" w:cs="宋体"/>
          <w:b/>
          <w:color w:val="auto"/>
          <w:sz w:val="36"/>
          <w:szCs w:val="36"/>
          <w:highlight w:val="none"/>
        </w:rPr>
      </w:pPr>
    </w:p>
    <w:p w14:paraId="62E7E16B">
      <w:pPr>
        <w:jc w:val="center"/>
        <w:rPr>
          <w:rFonts w:hint="eastAsia" w:ascii="宋体" w:hAnsi="宋体" w:eastAsia="宋体" w:cs="宋体"/>
          <w:b/>
          <w:color w:val="auto"/>
          <w:sz w:val="36"/>
          <w:szCs w:val="36"/>
          <w:highlight w:val="none"/>
        </w:rPr>
      </w:pPr>
    </w:p>
    <w:p w14:paraId="74BFA939">
      <w:pPr>
        <w:widowControl/>
        <w:spacing w:line="500" w:lineRule="exact"/>
        <w:jc w:val="center"/>
        <w:rPr>
          <w:rFonts w:hint="eastAsia" w:ascii="宋体" w:hAnsi="宋体" w:eastAsia="宋体" w:cs="宋体"/>
          <w:b/>
          <w:color w:val="auto"/>
          <w:sz w:val="36"/>
          <w:szCs w:val="36"/>
          <w:highlight w:val="none"/>
        </w:rPr>
      </w:pPr>
    </w:p>
    <w:p w14:paraId="77CBEA5D">
      <w:pPr>
        <w:widowControl/>
        <w:spacing w:line="500" w:lineRule="exact"/>
        <w:jc w:val="center"/>
        <w:rPr>
          <w:rFonts w:hint="eastAsia" w:ascii="宋体" w:hAnsi="宋体" w:eastAsia="宋体" w:cs="宋体"/>
          <w:b/>
          <w:color w:val="auto"/>
          <w:sz w:val="36"/>
          <w:szCs w:val="36"/>
          <w:highlight w:val="none"/>
        </w:rPr>
      </w:pPr>
    </w:p>
    <w:p w14:paraId="64EAD8F6">
      <w:pPr>
        <w:pageBreakBefore/>
        <w:widowControl/>
        <w:spacing w:line="500" w:lineRule="exac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（十</w:t>
      </w:r>
      <w:r>
        <w:rPr>
          <w:rFonts w:hint="eastAsia" w:ascii="宋体" w:hAnsi="宋体" w:eastAsia="宋体" w:cs="宋体"/>
          <w:b/>
          <w:color w:val="auto"/>
          <w:sz w:val="36"/>
          <w:szCs w:val="36"/>
          <w:highlight w:val="none"/>
          <w:lang w:val="en-US" w:eastAsia="zh-CN"/>
        </w:rPr>
        <w:t>一</w:t>
      </w:r>
      <w:r>
        <w:rPr>
          <w:rFonts w:hint="eastAsia" w:ascii="宋体" w:hAnsi="宋体" w:eastAsia="宋体" w:cs="宋体"/>
          <w:b/>
          <w:color w:val="auto"/>
          <w:sz w:val="36"/>
          <w:szCs w:val="36"/>
          <w:highlight w:val="none"/>
        </w:rPr>
        <w:t>）残疾人福利性单位声明函（如有）</w:t>
      </w:r>
    </w:p>
    <w:p w14:paraId="209233DB">
      <w:pPr>
        <w:spacing w:line="588" w:lineRule="exact"/>
        <w:rPr>
          <w:rFonts w:hint="eastAsia" w:ascii="宋体" w:hAnsi="宋体" w:eastAsia="宋体" w:cs="宋体"/>
          <w:b/>
          <w:color w:val="auto"/>
          <w:spacing w:val="6"/>
          <w:sz w:val="30"/>
          <w:szCs w:val="30"/>
          <w:highlight w:val="none"/>
        </w:rPr>
      </w:pPr>
    </w:p>
    <w:p w14:paraId="23DC0DE9">
      <w:pPr>
        <w:spacing w:line="588" w:lineRule="exact"/>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highlight w:val="none"/>
        </w:rPr>
        <w:t>〔2017〕141</w:t>
      </w:r>
      <w:r>
        <w:rPr>
          <w:rFonts w:hint="eastAsia" w:ascii="宋体" w:hAnsi="宋体" w:eastAsia="宋体" w:cs="宋体"/>
          <w:color w:val="auto"/>
          <w:spacing w:val="6"/>
          <w:sz w:val="24"/>
          <w:highlight w:val="none"/>
        </w:rPr>
        <w:t>号）的规定，本单位为符合条件的残疾人福利性单位，且本单位参加</w:t>
      </w:r>
      <w:r>
        <w:rPr>
          <w:rFonts w:hint="eastAsia" w:ascii="宋体" w:hAnsi="宋体" w:eastAsia="宋体" w:cs="宋体"/>
          <w:color w:val="auto"/>
          <w:spacing w:val="6"/>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pacing w:val="6"/>
          <w:sz w:val="24"/>
          <w:highlight w:val="none"/>
        </w:rPr>
        <w:t>的</w:t>
      </w:r>
      <w:r>
        <w:rPr>
          <w:rFonts w:hint="eastAsia" w:ascii="宋体" w:hAnsi="宋体" w:eastAsia="宋体" w:cs="宋体"/>
          <w:color w:val="auto"/>
          <w:spacing w:val="6"/>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lang w:eastAsia="zh-CN"/>
        </w:rPr>
        <w:t>（</w:t>
      </w:r>
      <w:r>
        <w:rPr>
          <w:rFonts w:hint="eastAsia" w:ascii="宋体" w:hAnsi="宋体" w:eastAsia="宋体" w:cs="宋体"/>
          <w:b/>
          <w:bCs/>
          <w:color w:val="auto"/>
          <w:sz w:val="24"/>
          <w:highlight w:val="none"/>
          <w:u w:val="single"/>
          <w:lang w:val="en-US" w:eastAsia="zh-CN"/>
        </w:rPr>
        <w:t>标段号：   ）</w:t>
      </w:r>
      <w:r>
        <w:rPr>
          <w:rFonts w:hint="eastAsia" w:ascii="宋体" w:hAnsi="宋体" w:eastAsia="宋体" w:cs="宋体"/>
          <w:color w:val="auto"/>
          <w:spacing w:val="6"/>
          <w:sz w:val="24"/>
          <w:highlight w:val="none"/>
        </w:rPr>
        <w:t>采购活动提供本单位制造的货物（由本单位承担工程/提供服务），或者提供其他残疾人福利性单位制造的货物（不包括使用非残疾人福利性单位注册商标的货物）。</w:t>
      </w:r>
    </w:p>
    <w:p w14:paraId="4C0E63B5">
      <w:pPr>
        <w:spacing w:line="588" w:lineRule="exact"/>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本单位在本次政府采购活动中提供的残疾人福利单位产品报价合计为人民币（大写）</w:t>
      </w:r>
      <w:r>
        <w:rPr>
          <w:rFonts w:hint="eastAsia" w:ascii="宋体" w:hAnsi="宋体" w:eastAsia="宋体" w:cs="宋体"/>
          <w:color w:val="auto"/>
          <w:spacing w:val="6"/>
          <w:sz w:val="24"/>
          <w:highlight w:val="none"/>
          <w:u w:val="single"/>
        </w:rPr>
        <w:t>      元整</w:t>
      </w:r>
      <w:r>
        <w:rPr>
          <w:rFonts w:hint="eastAsia" w:ascii="宋体" w:hAnsi="宋体" w:eastAsia="宋体" w:cs="宋体"/>
          <w:color w:val="auto"/>
          <w:spacing w:val="6"/>
          <w:sz w:val="24"/>
          <w:highlight w:val="none"/>
        </w:rPr>
        <w:t>（￥</w:t>
      </w:r>
      <w:r>
        <w:rPr>
          <w:rFonts w:hint="eastAsia" w:ascii="宋体" w:hAnsi="宋体" w:eastAsia="宋体" w:cs="宋体"/>
          <w:color w:val="auto"/>
          <w:spacing w:val="6"/>
          <w:sz w:val="24"/>
          <w:highlight w:val="none"/>
          <w:u w:val="single"/>
        </w:rPr>
        <w:t>：     </w:t>
      </w:r>
      <w:r>
        <w:rPr>
          <w:rFonts w:hint="eastAsia" w:ascii="宋体" w:hAnsi="宋体" w:eastAsia="宋体" w:cs="宋体"/>
          <w:color w:val="auto"/>
          <w:spacing w:val="6"/>
          <w:sz w:val="24"/>
          <w:highlight w:val="none"/>
        </w:rPr>
        <w:t>）。</w:t>
      </w:r>
    </w:p>
    <w:p w14:paraId="5F13FC35">
      <w:pPr>
        <w:spacing w:line="588" w:lineRule="exact"/>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本单位对上述声明的真实性负责。如有虚假，将依法承担相应责任。</w:t>
      </w:r>
    </w:p>
    <w:p w14:paraId="1CBF54D9">
      <w:pPr>
        <w:spacing w:line="588" w:lineRule="exact"/>
        <w:ind w:firstLine="504"/>
        <w:rPr>
          <w:rFonts w:hint="eastAsia" w:ascii="宋体" w:hAnsi="宋体" w:eastAsia="宋体" w:cs="宋体"/>
          <w:color w:val="auto"/>
          <w:spacing w:val="6"/>
          <w:sz w:val="24"/>
          <w:highlight w:val="none"/>
        </w:rPr>
      </w:pPr>
    </w:p>
    <w:p w14:paraId="7326C944">
      <w:pPr>
        <w:spacing w:line="588" w:lineRule="exact"/>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（备注：1、投标人如不提供此声明函，价格将不做相应扣除。2、中标投标人为残疾人福利单位的，此声明函将随中标结果同时公告，接受社会监督）</w:t>
      </w:r>
    </w:p>
    <w:p w14:paraId="32043E00">
      <w:pPr>
        <w:spacing w:line="588" w:lineRule="exact"/>
        <w:ind w:firstLine="504"/>
        <w:rPr>
          <w:rFonts w:hint="eastAsia" w:ascii="宋体" w:hAnsi="宋体" w:eastAsia="宋体" w:cs="宋体"/>
          <w:color w:val="auto"/>
          <w:spacing w:val="6"/>
          <w:sz w:val="24"/>
          <w:highlight w:val="none"/>
        </w:rPr>
      </w:pPr>
    </w:p>
    <w:p w14:paraId="67CB490F">
      <w:pPr>
        <w:spacing w:line="588" w:lineRule="exact"/>
        <w:ind w:firstLine="504"/>
        <w:rPr>
          <w:rFonts w:hint="eastAsia" w:ascii="宋体" w:hAnsi="宋体" w:eastAsia="宋体" w:cs="宋体"/>
          <w:color w:val="auto"/>
          <w:spacing w:val="6"/>
          <w:sz w:val="24"/>
          <w:highlight w:val="none"/>
        </w:rPr>
      </w:pPr>
    </w:p>
    <w:p w14:paraId="7CBEB417">
      <w:pPr>
        <w:tabs>
          <w:tab w:val="left" w:pos="4860"/>
        </w:tabs>
        <w:spacing w:line="588" w:lineRule="exact"/>
        <w:ind w:right="1560" w:firstLine="504"/>
        <w:jc w:val="righ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授权代理人亲笔签名：</w:t>
      </w:r>
    </w:p>
    <w:p w14:paraId="3B0FC8EC">
      <w:pPr>
        <w:spacing w:line="588" w:lineRule="exact"/>
        <w:ind w:right="286" w:firstLine="504"/>
        <w:jc w:val="righ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日期：________年____月____日</w:t>
      </w:r>
    </w:p>
    <w:p w14:paraId="679BD53B">
      <w:pPr>
        <w:rPr>
          <w:rFonts w:hint="eastAsia" w:ascii="宋体" w:hAnsi="宋体" w:eastAsia="宋体" w:cs="宋体"/>
          <w:color w:val="auto"/>
          <w:highlight w:val="none"/>
        </w:rPr>
      </w:pPr>
    </w:p>
    <w:p w14:paraId="60502DEB">
      <w:pPr>
        <w:spacing w:line="480" w:lineRule="exact"/>
        <w:ind w:firstLine="723"/>
        <w:rPr>
          <w:rFonts w:hint="eastAsia" w:ascii="宋体" w:hAnsi="宋体" w:eastAsia="宋体" w:cs="宋体"/>
          <w:b/>
          <w:color w:val="auto"/>
          <w:sz w:val="36"/>
          <w:szCs w:val="36"/>
          <w:highlight w:val="none"/>
        </w:rPr>
      </w:pPr>
    </w:p>
    <w:p w14:paraId="7EFE8960">
      <w:pPr>
        <w:widowControl/>
        <w:spacing w:line="500" w:lineRule="exact"/>
        <w:jc w:val="center"/>
        <w:rPr>
          <w:rFonts w:hint="eastAsia" w:ascii="宋体" w:hAnsi="宋体" w:eastAsia="宋体" w:cs="宋体"/>
          <w:b/>
          <w:color w:val="auto"/>
          <w:sz w:val="36"/>
          <w:szCs w:val="36"/>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6"/>
          <w:szCs w:val="36"/>
          <w:highlight w:val="none"/>
        </w:rPr>
        <w:t>（十</w:t>
      </w:r>
      <w:r>
        <w:rPr>
          <w:rFonts w:hint="eastAsia" w:ascii="宋体" w:hAnsi="宋体" w:eastAsia="宋体" w:cs="宋体"/>
          <w:b/>
          <w:color w:val="auto"/>
          <w:sz w:val="36"/>
          <w:szCs w:val="36"/>
          <w:highlight w:val="none"/>
          <w:lang w:val="en-US" w:eastAsia="zh-CN"/>
        </w:rPr>
        <w:t>二</w:t>
      </w:r>
      <w:r>
        <w:rPr>
          <w:rFonts w:hint="eastAsia" w:ascii="宋体" w:hAnsi="宋体" w:eastAsia="宋体" w:cs="宋体"/>
          <w:b/>
          <w:color w:val="auto"/>
          <w:sz w:val="36"/>
          <w:szCs w:val="36"/>
          <w:highlight w:val="none"/>
        </w:rPr>
        <w:t>）投标清单报价表</w:t>
      </w:r>
    </w:p>
    <w:p w14:paraId="05E9357E">
      <w:pPr>
        <w:spacing w:line="400" w:lineRule="exact"/>
        <w:rPr>
          <w:rFonts w:hint="eastAsia" w:ascii="宋体" w:hAnsi="宋体" w:eastAsia="宋体" w:cs="宋体"/>
          <w:color w:val="auto"/>
          <w:sz w:val="24"/>
          <w:highlight w:val="none"/>
          <w:lang w:bidi="th-TH"/>
        </w:rPr>
      </w:pPr>
      <w:r>
        <w:rPr>
          <w:rFonts w:hint="eastAsia" w:ascii="宋体" w:hAnsi="宋体" w:eastAsia="宋体" w:cs="宋体"/>
          <w:color w:val="auto"/>
          <w:sz w:val="24"/>
          <w:highlight w:val="none"/>
          <w:lang w:bidi="th-TH"/>
        </w:rPr>
        <w:t xml:space="preserve">                                               </w:t>
      </w:r>
    </w:p>
    <w:tbl>
      <w:tblPr>
        <w:tblStyle w:val="18"/>
        <w:tblW w:w="0" w:type="auto"/>
        <w:jc w:val="center"/>
        <w:tblLayout w:type="fixed"/>
        <w:tblCellMar>
          <w:top w:w="0" w:type="dxa"/>
          <w:left w:w="108" w:type="dxa"/>
          <w:bottom w:w="0" w:type="dxa"/>
          <w:right w:w="108" w:type="dxa"/>
        </w:tblCellMar>
      </w:tblPr>
      <w:tblGrid>
        <w:gridCol w:w="802"/>
        <w:gridCol w:w="3545"/>
        <w:gridCol w:w="951"/>
        <w:gridCol w:w="923"/>
        <w:gridCol w:w="1107"/>
        <w:gridCol w:w="898"/>
        <w:gridCol w:w="1417"/>
      </w:tblGrid>
      <w:tr w14:paraId="4E0A0EE9">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vAlign w:val="center"/>
          </w:tcPr>
          <w:p w14:paraId="5EB5E1F0">
            <w:pPr>
              <w:spacing w:line="360" w:lineRule="auto"/>
              <w:ind w:right="-5"/>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545" w:type="dxa"/>
            <w:tcBorders>
              <w:top w:val="single" w:color="auto" w:sz="4" w:space="0"/>
              <w:left w:val="single" w:color="auto" w:sz="4" w:space="0"/>
              <w:bottom w:val="single" w:color="auto" w:sz="4" w:space="0"/>
              <w:right w:val="single" w:color="auto" w:sz="6" w:space="0"/>
            </w:tcBorders>
            <w:vAlign w:val="center"/>
          </w:tcPr>
          <w:p w14:paraId="02A992C0">
            <w:pPr>
              <w:spacing w:line="360" w:lineRule="auto"/>
              <w:ind w:right="-5"/>
              <w:jc w:val="center"/>
              <w:rPr>
                <w:rFonts w:hint="eastAsia" w:ascii="宋体" w:hAnsi="宋体" w:eastAsia="宋体" w:cs="宋体"/>
                <w:color w:val="auto"/>
                <w:highlight w:val="none"/>
              </w:rPr>
            </w:pPr>
            <w:r>
              <w:rPr>
                <w:rFonts w:hint="eastAsia" w:ascii="宋体" w:hAnsi="宋体" w:eastAsia="宋体" w:cs="宋体"/>
                <w:color w:val="auto"/>
                <w:highlight w:val="none"/>
              </w:rPr>
              <w:t>项目内容</w:t>
            </w:r>
          </w:p>
        </w:tc>
        <w:tc>
          <w:tcPr>
            <w:tcW w:w="951" w:type="dxa"/>
            <w:tcBorders>
              <w:top w:val="single" w:color="auto" w:sz="4" w:space="0"/>
              <w:left w:val="single" w:color="auto" w:sz="6" w:space="0"/>
              <w:bottom w:val="single" w:color="auto" w:sz="4" w:space="0"/>
              <w:right w:val="single" w:color="auto" w:sz="6" w:space="0"/>
            </w:tcBorders>
            <w:vAlign w:val="center"/>
          </w:tcPr>
          <w:p w14:paraId="3E6F8C11">
            <w:pPr>
              <w:spacing w:line="360" w:lineRule="auto"/>
              <w:ind w:right="-5"/>
              <w:jc w:val="center"/>
              <w:rPr>
                <w:rFonts w:hint="eastAsia" w:ascii="宋体" w:hAnsi="宋体" w:eastAsia="宋体" w:cs="宋体"/>
                <w:color w:val="auto"/>
                <w:highlight w:val="none"/>
              </w:rPr>
            </w:pPr>
            <w:r>
              <w:rPr>
                <w:rFonts w:hint="eastAsia" w:ascii="宋体" w:hAnsi="宋体" w:eastAsia="宋体" w:cs="宋体"/>
                <w:color w:val="auto"/>
                <w:highlight w:val="none"/>
              </w:rPr>
              <w:t>单位</w:t>
            </w:r>
          </w:p>
        </w:tc>
        <w:tc>
          <w:tcPr>
            <w:tcW w:w="923" w:type="dxa"/>
            <w:tcBorders>
              <w:top w:val="single" w:color="auto" w:sz="4" w:space="0"/>
              <w:left w:val="single" w:color="auto" w:sz="6" w:space="0"/>
              <w:bottom w:val="single" w:color="auto" w:sz="4" w:space="0"/>
              <w:right w:val="single" w:color="auto" w:sz="6" w:space="0"/>
            </w:tcBorders>
            <w:vAlign w:val="center"/>
          </w:tcPr>
          <w:p w14:paraId="585D4A7C">
            <w:pPr>
              <w:spacing w:line="360" w:lineRule="auto"/>
              <w:ind w:right="-5"/>
              <w:jc w:val="center"/>
              <w:rPr>
                <w:rFonts w:hint="eastAsia" w:ascii="宋体" w:hAnsi="宋体" w:eastAsia="宋体" w:cs="宋体"/>
                <w:color w:val="auto"/>
                <w:highlight w:val="none"/>
              </w:rPr>
            </w:pPr>
            <w:r>
              <w:rPr>
                <w:rFonts w:hint="eastAsia" w:ascii="宋体" w:hAnsi="宋体" w:eastAsia="宋体" w:cs="宋体"/>
                <w:color w:val="auto"/>
                <w:highlight w:val="none"/>
              </w:rPr>
              <w:t>数量</w:t>
            </w:r>
          </w:p>
        </w:tc>
        <w:tc>
          <w:tcPr>
            <w:tcW w:w="1107" w:type="dxa"/>
            <w:tcBorders>
              <w:top w:val="single" w:color="auto" w:sz="4" w:space="0"/>
              <w:left w:val="single" w:color="auto" w:sz="6" w:space="0"/>
              <w:bottom w:val="single" w:color="auto" w:sz="4" w:space="0"/>
              <w:right w:val="single" w:color="auto" w:sz="6" w:space="0"/>
            </w:tcBorders>
            <w:vAlign w:val="center"/>
          </w:tcPr>
          <w:p w14:paraId="0DFF4D84">
            <w:pPr>
              <w:spacing w:line="360" w:lineRule="auto"/>
              <w:ind w:right="-5"/>
              <w:jc w:val="center"/>
              <w:rPr>
                <w:rFonts w:hint="eastAsia" w:ascii="宋体" w:hAnsi="宋体" w:eastAsia="宋体" w:cs="宋体"/>
                <w:color w:val="auto"/>
                <w:highlight w:val="none"/>
              </w:rPr>
            </w:pPr>
            <w:r>
              <w:rPr>
                <w:rFonts w:hint="eastAsia" w:ascii="宋体" w:hAnsi="宋体" w:eastAsia="宋体" w:cs="宋体"/>
                <w:color w:val="auto"/>
                <w:highlight w:val="none"/>
              </w:rPr>
              <w:t>单价</w:t>
            </w:r>
          </w:p>
        </w:tc>
        <w:tc>
          <w:tcPr>
            <w:tcW w:w="898" w:type="dxa"/>
            <w:tcBorders>
              <w:top w:val="single" w:color="auto" w:sz="4" w:space="0"/>
              <w:left w:val="single" w:color="auto" w:sz="6" w:space="0"/>
              <w:bottom w:val="single" w:color="auto" w:sz="4" w:space="0"/>
              <w:right w:val="single" w:color="auto" w:sz="6" w:space="0"/>
            </w:tcBorders>
            <w:vAlign w:val="center"/>
          </w:tcPr>
          <w:p w14:paraId="164D8BF6">
            <w:pPr>
              <w:spacing w:line="360" w:lineRule="auto"/>
              <w:ind w:right="-5"/>
              <w:jc w:val="center"/>
              <w:rPr>
                <w:rFonts w:hint="eastAsia" w:ascii="宋体" w:hAnsi="宋体" w:eastAsia="宋体" w:cs="宋体"/>
                <w:color w:val="auto"/>
                <w:highlight w:val="none"/>
              </w:rPr>
            </w:pPr>
            <w:r>
              <w:rPr>
                <w:rFonts w:hint="eastAsia" w:ascii="宋体" w:hAnsi="宋体" w:eastAsia="宋体" w:cs="宋体"/>
                <w:color w:val="auto"/>
                <w:highlight w:val="none"/>
              </w:rPr>
              <w:t>总价</w:t>
            </w:r>
          </w:p>
        </w:tc>
        <w:tc>
          <w:tcPr>
            <w:tcW w:w="1417" w:type="dxa"/>
            <w:tcBorders>
              <w:top w:val="single" w:color="auto" w:sz="4" w:space="0"/>
              <w:left w:val="single" w:color="auto" w:sz="6" w:space="0"/>
              <w:bottom w:val="single" w:color="auto" w:sz="4" w:space="0"/>
              <w:right w:val="single" w:color="auto" w:sz="4" w:space="0"/>
            </w:tcBorders>
            <w:vAlign w:val="center"/>
          </w:tcPr>
          <w:p w14:paraId="37FF0906">
            <w:pPr>
              <w:spacing w:line="360" w:lineRule="auto"/>
              <w:ind w:right="-5"/>
              <w:jc w:val="center"/>
              <w:rPr>
                <w:rFonts w:hint="eastAsia" w:ascii="宋体" w:hAnsi="宋体" w:eastAsia="宋体" w:cs="宋体"/>
                <w:color w:val="auto"/>
                <w:highlight w:val="none"/>
              </w:rPr>
            </w:pPr>
            <w:r>
              <w:rPr>
                <w:rFonts w:hint="eastAsia" w:ascii="宋体" w:hAnsi="宋体" w:eastAsia="宋体" w:cs="宋体"/>
                <w:color w:val="auto"/>
                <w:highlight w:val="none"/>
              </w:rPr>
              <w:t>备注</w:t>
            </w:r>
          </w:p>
        </w:tc>
      </w:tr>
      <w:tr w14:paraId="289DE4CB">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72EAD16A">
            <w:pPr>
              <w:spacing w:line="360" w:lineRule="auto"/>
              <w:ind w:right="-5"/>
              <w:jc w:val="center"/>
              <w:rPr>
                <w:rFonts w:hint="eastAsia" w:ascii="宋体" w:hAnsi="宋体" w:eastAsia="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3570C85E">
            <w:pPr>
              <w:spacing w:line="360" w:lineRule="auto"/>
              <w:ind w:right="-5"/>
              <w:jc w:val="center"/>
              <w:rPr>
                <w:rFonts w:hint="eastAsia" w:ascii="宋体" w:hAnsi="宋体" w:eastAsia="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42C3978A">
            <w:pPr>
              <w:spacing w:line="360" w:lineRule="auto"/>
              <w:ind w:right="-5"/>
              <w:jc w:val="center"/>
              <w:rPr>
                <w:rFonts w:hint="eastAsia" w:ascii="宋体" w:hAnsi="宋体" w:eastAsia="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6499575B">
            <w:pPr>
              <w:spacing w:line="360" w:lineRule="auto"/>
              <w:ind w:right="-5"/>
              <w:jc w:val="center"/>
              <w:rPr>
                <w:rFonts w:hint="eastAsia" w:ascii="宋体" w:hAnsi="宋体" w:eastAsia="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69B9302C">
            <w:pPr>
              <w:spacing w:line="360" w:lineRule="auto"/>
              <w:ind w:right="-5"/>
              <w:jc w:val="center"/>
              <w:rPr>
                <w:rFonts w:hint="eastAsia" w:ascii="宋体" w:hAnsi="宋体" w:eastAsia="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0079FA54">
            <w:pPr>
              <w:spacing w:line="360" w:lineRule="auto"/>
              <w:ind w:right="-5"/>
              <w:jc w:val="center"/>
              <w:rPr>
                <w:rFonts w:hint="eastAsia" w:ascii="宋体" w:hAnsi="宋体" w:eastAsia="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62852308">
            <w:pPr>
              <w:spacing w:line="360" w:lineRule="auto"/>
              <w:ind w:right="-5"/>
              <w:jc w:val="center"/>
              <w:rPr>
                <w:rFonts w:hint="eastAsia" w:ascii="宋体" w:hAnsi="宋体" w:eastAsia="宋体" w:cs="宋体"/>
                <w:color w:val="auto"/>
                <w:highlight w:val="none"/>
              </w:rPr>
            </w:pPr>
          </w:p>
        </w:tc>
      </w:tr>
      <w:tr w14:paraId="267AEC5D">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4C5EFA7D">
            <w:pPr>
              <w:spacing w:line="360" w:lineRule="auto"/>
              <w:ind w:right="-5"/>
              <w:jc w:val="center"/>
              <w:rPr>
                <w:rFonts w:hint="eastAsia" w:ascii="宋体" w:hAnsi="宋体" w:eastAsia="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72BC76D5">
            <w:pPr>
              <w:spacing w:line="360" w:lineRule="auto"/>
              <w:ind w:right="-5"/>
              <w:jc w:val="center"/>
              <w:rPr>
                <w:rFonts w:hint="eastAsia" w:ascii="宋体" w:hAnsi="宋体" w:eastAsia="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4327B906">
            <w:pPr>
              <w:spacing w:line="360" w:lineRule="auto"/>
              <w:ind w:right="-5"/>
              <w:jc w:val="center"/>
              <w:rPr>
                <w:rFonts w:hint="eastAsia" w:ascii="宋体" w:hAnsi="宋体" w:eastAsia="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65F1E788">
            <w:pPr>
              <w:spacing w:line="360" w:lineRule="auto"/>
              <w:ind w:right="-5"/>
              <w:jc w:val="center"/>
              <w:rPr>
                <w:rFonts w:hint="eastAsia" w:ascii="宋体" w:hAnsi="宋体" w:eastAsia="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0C4C29C5">
            <w:pPr>
              <w:spacing w:line="360" w:lineRule="auto"/>
              <w:ind w:right="-5"/>
              <w:jc w:val="center"/>
              <w:rPr>
                <w:rFonts w:hint="eastAsia" w:ascii="宋体" w:hAnsi="宋体" w:eastAsia="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60EB2A7B">
            <w:pPr>
              <w:spacing w:line="360" w:lineRule="auto"/>
              <w:ind w:right="-5"/>
              <w:jc w:val="center"/>
              <w:rPr>
                <w:rFonts w:hint="eastAsia" w:ascii="宋体" w:hAnsi="宋体" w:eastAsia="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38C98833">
            <w:pPr>
              <w:spacing w:line="360" w:lineRule="auto"/>
              <w:ind w:right="-5"/>
              <w:jc w:val="center"/>
              <w:rPr>
                <w:rFonts w:hint="eastAsia" w:ascii="宋体" w:hAnsi="宋体" w:eastAsia="宋体" w:cs="宋体"/>
                <w:color w:val="auto"/>
                <w:highlight w:val="none"/>
              </w:rPr>
            </w:pPr>
          </w:p>
        </w:tc>
      </w:tr>
      <w:tr w14:paraId="696AC55E">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54CA6B79">
            <w:pPr>
              <w:spacing w:line="360" w:lineRule="auto"/>
              <w:ind w:right="-5"/>
              <w:jc w:val="center"/>
              <w:rPr>
                <w:rFonts w:hint="eastAsia" w:ascii="宋体" w:hAnsi="宋体" w:eastAsia="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7489E9EE">
            <w:pPr>
              <w:spacing w:line="360" w:lineRule="auto"/>
              <w:ind w:right="-5"/>
              <w:jc w:val="center"/>
              <w:rPr>
                <w:rFonts w:hint="eastAsia" w:ascii="宋体" w:hAnsi="宋体" w:eastAsia="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69E03BA8">
            <w:pPr>
              <w:spacing w:line="360" w:lineRule="auto"/>
              <w:ind w:right="-5"/>
              <w:jc w:val="center"/>
              <w:rPr>
                <w:rFonts w:hint="eastAsia" w:ascii="宋体" w:hAnsi="宋体" w:eastAsia="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5A5D80F5">
            <w:pPr>
              <w:spacing w:line="360" w:lineRule="auto"/>
              <w:ind w:right="-5"/>
              <w:jc w:val="center"/>
              <w:rPr>
                <w:rFonts w:hint="eastAsia" w:ascii="宋体" w:hAnsi="宋体" w:eastAsia="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50292A8B">
            <w:pPr>
              <w:spacing w:line="360" w:lineRule="auto"/>
              <w:ind w:right="-5"/>
              <w:jc w:val="center"/>
              <w:rPr>
                <w:rFonts w:hint="eastAsia" w:ascii="宋体" w:hAnsi="宋体" w:eastAsia="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5651F3C8">
            <w:pPr>
              <w:spacing w:line="360" w:lineRule="auto"/>
              <w:ind w:right="-5"/>
              <w:jc w:val="center"/>
              <w:rPr>
                <w:rFonts w:hint="eastAsia" w:ascii="宋体" w:hAnsi="宋体" w:eastAsia="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21021EF8">
            <w:pPr>
              <w:spacing w:line="360" w:lineRule="auto"/>
              <w:ind w:right="-5"/>
              <w:jc w:val="center"/>
              <w:rPr>
                <w:rFonts w:hint="eastAsia" w:ascii="宋体" w:hAnsi="宋体" w:eastAsia="宋体" w:cs="宋体"/>
                <w:color w:val="auto"/>
                <w:highlight w:val="none"/>
              </w:rPr>
            </w:pPr>
          </w:p>
        </w:tc>
      </w:tr>
      <w:tr w14:paraId="43AA7E65">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4022869B">
            <w:pPr>
              <w:spacing w:line="360" w:lineRule="auto"/>
              <w:ind w:right="-5"/>
              <w:jc w:val="center"/>
              <w:rPr>
                <w:rFonts w:hint="eastAsia" w:ascii="宋体" w:hAnsi="宋体" w:eastAsia="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0792D1E3">
            <w:pPr>
              <w:spacing w:line="360" w:lineRule="auto"/>
              <w:ind w:right="-5"/>
              <w:jc w:val="center"/>
              <w:rPr>
                <w:rFonts w:hint="eastAsia" w:ascii="宋体" w:hAnsi="宋体" w:eastAsia="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268AA252">
            <w:pPr>
              <w:spacing w:line="360" w:lineRule="auto"/>
              <w:ind w:right="-5"/>
              <w:jc w:val="center"/>
              <w:rPr>
                <w:rFonts w:hint="eastAsia" w:ascii="宋体" w:hAnsi="宋体" w:eastAsia="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2F81E7C0">
            <w:pPr>
              <w:spacing w:line="360" w:lineRule="auto"/>
              <w:ind w:right="-5"/>
              <w:jc w:val="center"/>
              <w:rPr>
                <w:rFonts w:hint="eastAsia" w:ascii="宋体" w:hAnsi="宋体" w:eastAsia="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25A480ED">
            <w:pPr>
              <w:spacing w:line="360" w:lineRule="auto"/>
              <w:ind w:right="-5"/>
              <w:jc w:val="center"/>
              <w:rPr>
                <w:rFonts w:hint="eastAsia" w:ascii="宋体" w:hAnsi="宋体" w:eastAsia="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32F2C536">
            <w:pPr>
              <w:spacing w:line="360" w:lineRule="auto"/>
              <w:ind w:right="-5"/>
              <w:jc w:val="center"/>
              <w:rPr>
                <w:rFonts w:hint="eastAsia" w:ascii="宋体" w:hAnsi="宋体" w:eastAsia="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26847C8A">
            <w:pPr>
              <w:spacing w:line="360" w:lineRule="auto"/>
              <w:ind w:right="-5"/>
              <w:jc w:val="center"/>
              <w:rPr>
                <w:rFonts w:hint="eastAsia" w:ascii="宋体" w:hAnsi="宋体" w:eastAsia="宋体" w:cs="宋体"/>
                <w:color w:val="auto"/>
                <w:highlight w:val="none"/>
              </w:rPr>
            </w:pPr>
          </w:p>
        </w:tc>
      </w:tr>
      <w:tr w14:paraId="61A0A927">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7EBFAE5F">
            <w:pPr>
              <w:spacing w:line="360" w:lineRule="auto"/>
              <w:ind w:right="-5"/>
              <w:jc w:val="center"/>
              <w:rPr>
                <w:rFonts w:hint="eastAsia" w:ascii="宋体" w:hAnsi="宋体" w:eastAsia="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1A916FDF">
            <w:pPr>
              <w:spacing w:line="360" w:lineRule="auto"/>
              <w:ind w:right="-5"/>
              <w:jc w:val="center"/>
              <w:rPr>
                <w:rFonts w:hint="eastAsia" w:ascii="宋体" w:hAnsi="宋体" w:eastAsia="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587D6D24">
            <w:pPr>
              <w:spacing w:line="360" w:lineRule="auto"/>
              <w:ind w:right="-5"/>
              <w:jc w:val="center"/>
              <w:rPr>
                <w:rFonts w:hint="eastAsia" w:ascii="宋体" w:hAnsi="宋体" w:eastAsia="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5ED0E195">
            <w:pPr>
              <w:spacing w:line="360" w:lineRule="auto"/>
              <w:ind w:right="-5"/>
              <w:jc w:val="center"/>
              <w:rPr>
                <w:rFonts w:hint="eastAsia" w:ascii="宋体" w:hAnsi="宋体" w:eastAsia="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0E6AF35D">
            <w:pPr>
              <w:spacing w:line="360" w:lineRule="auto"/>
              <w:ind w:right="-5"/>
              <w:jc w:val="center"/>
              <w:rPr>
                <w:rFonts w:hint="eastAsia" w:ascii="宋体" w:hAnsi="宋体" w:eastAsia="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3806EF48">
            <w:pPr>
              <w:spacing w:line="360" w:lineRule="auto"/>
              <w:ind w:right="-5"/>
              <w:jc w:val="center"/>
              <w:rPr>
                <w:rFonts w:hint="eastAsia" w:ascii="宋体" w:hAnsi="宋体" w:eastAsia="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7D167558">
            <w:pPr>
              <w:spacing w:line="360" w:lineRule="auto"/>
              <w:ind w:right="-5"/>
              <w:jc w:val="center"/>
              <w:rPr>
                <w:rFonts w:hint="eastAsia" w:ascii="宋体" w:hAnsi="宋体" w:eastAsia="宋体" w:cs="宋体"/>
                <w:color w:val="auto"/>
                <w:highlight w:val="none"/>
              </w:rPr>
            </w:pPr>
          </w:p>
        </w:tc>
      </w:tr>
      <w:tr w14:paraId="3E7A2AC3">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6B86247E">
            <w:pPr>
              <w:spacing w:line="360" w:lineRule="auto"/>
              <w:ind w:right="-5"/>
              <w:jc w:val="center"/>
              <w:rPr>
                <w:rFonts w:hint="eastAsia" w:ascii="宋体" w:hAnsi="宋体" w:eastAsia="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1432E21F">
            <w:pPr>
              <w:spacing w:line="360" w:lineRule="auto"/>
              <w:ind w:right="-5"/>
              <w:jc w:val="center"/>
              <w:rPr>
                <w:rFonts w:hint="eastAsia" w:ascii="宋体" w:hAnsi="宋体" w:eastAsia="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7F198BE9">
            <w:pPr>
              <w:spacing w:line="360" w:lineRule="auto"/>
              <w:ind w:right="-5"/>
              <w:jc w:val="center"/>
              <w:rPr>
                <w:rFonts w:hint="eastAsia" w:ascii="宋体" w:hAnsi="宋体" w:eastAsia="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121962E2">
            <w:pPr>
              <w:spacing w:line="360" w:lineRule="auto"/>
              <w:ind w:right="-5"/>
              <w:jc w:val="center"/>
              <w:rPr>
                <w:rFonts w:hint="eastAsia" w:ascii="宋体" w:hAnsi="宋体" w:eastAsia="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72F327AE">
            <w:pPr>
              <w:spacing w:line="360" w:lineRule="auto"/>
              <w:ind w:right="-5"/>
              <w:jc w:val="center"/>
              <w:rPr>
                <w:rFonts w:hint="eastAsia" w:ascii="宋体" w:hAnsi="宋体" w:eastAsia="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75462529">
            <w:pPr>
              <w:spacing w:line="360" w:lineRule="auto"/>
              <w:ind w:right="-5"/>
              <w:jc w:val="center"/>
              <w:rPr>
                <w:rFonts w:hint="eastAsia" w:ascii="宋体" w:hAnsi="宋体" w:eastAsia="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1F0C85EA">
            <w:pPr>
              <w:spacing w:line="360" w:lineRule="auto"/>
              <w:ind w:right="-5"/>
              <w:jc w:val="center"/>
              <w:rPr>
                <w:rFonts w:hint="eastAsia" w:ascii="宋体" w:hAnsi="宋体" w:eastAsia="宋体" w:cs="宋体"/>
                <w:color w:val="auto"/>
                <w:highlight w:val="none"/>
              </w:rPr>
            </w:pPr>
          </w:p>
        </w:tc>
      </w:tr>
      <w:tr w14:paraId="068418FA">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6FC762FD">
            <w:pPr>
              <w:spacing w:line="360" w:lineRule="auto"/>
              <w:ind w:right="-5"/>
              <w:jc w:val="center"/>
              <w:rPr>
                <w:rFonts w:hint="eastAsia" w:ascii="宋体" w:hAnsi="宋体" w:eastAsia="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4F2D702E">
            <w:pPr>
              <w:spacing w:line="360" w:lineRule="auto"/>
              <w:ind w:right="-5"/>
              <w:jc w:val="center"/>
              <w:rPr>
                <w:rFonts w:hint="eastAsia" w:ascii="宋体" w:hAnsi="宋体" w:eastAsia="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1D3580AF">
            <w:pPr>
              <w:spacing w:line="360" w:lineRule="auto"/>
              <w:ind w:right="-5"/>
              <w:jc w:val="center"/>
              <w:rPr>
                <w:rFonts w:hint="eastAsia" w:ascii="宋体" w:hAnsi="宋体" w:eastAsia="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28968999">
            <w:pPr>
              <w:spacing w:line="360" w:lineRule="auto"/>
              <w:ind w:right="-5"/>
              <w:jc w:val="center"/>
              <w:rPr>
                <w:rFonts w:hint="eastAsia" w:ascii="宋体" w:hAnsi="宋体" w:eastAsia="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32298C1F">
            <w:pPr>
              <w:spacing w:line="360" w:lineRule="auto"/>
              <w:ind w:right="-5"/>
              <w:jc w:val="center"/>
              <w:rPr>
                <w:rFonts w:hint="eastAsia" w:ascii="宋体" w:hAnsi="宋体" w:eastAsia="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7EF15D6C">
            <w:pPr>
              <w:spacing w:line="360" w:lineRule="auto"/>
              <w:ind w:right="-5"/>
              <w:jc w:val="center"/>
              <w:rPr>
                <w:rFonts w:hint="eastAsia" w:ascii="宋体" w:hAnsi="宋体" w:eastAsia="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0C99E21D">
            <w:pPr>
              <w:spacing w:line="360" w:lineRule="auto"/>
              <w:ind w:right="-5"/>
              <w:jc w:val="center"/>
              <w:rPr>
                <w:rFonts w:hint="eastAsia" w:ascii="宋体" w:hAnsi="宋体" w:eastAsia="宋体" w:cs="宋体"/>
                <w:color w:val="auto"/>
                <w:highlight w:val="none"/>
              </w:rPr>
            </w:pPr>
          </w:p>
        </w:tc>
      </w:tr>
      <w:tr w14:paraId="1CAE026F">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14BEE944">
            <w:pPr>
              <w:spacing w:line="360" w:lineRule="auto"/>
              <w:ind w:right="-5"/>
              <w:jc w:val="center"/>
              <w:rPr>
                <w:rFonts w:hint="eastAsia" w:ascii="宋体" w:hAnsi="宋体" w:eastAsia="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7B07A340">
            <w:pPr>
              <w:spacing w:line="360" w:lineRule="auto"/>
              <w:ind w:right="-5"/>
              <w:jc w:val="center"/>
              <w:rPr>
                <w:rFonts w:hint="eastAsia" w:ascii="宋体" w:hAnsi="宋体" w:eastAsia="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6F0ECE60">
            <w:pPr>
              <w:spacing w:line="360" w:lineRule="auto"/>
              <w:ind w:right="-5"/>
              <w:jc w:val="center"/>
              <w:rPr>
                <w:rFonts w:hint="eastAsia" w:ascii="宋体" w:hAnsi="宋体" w:eastAsia="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26102A18">
            <w:pPr>
              <w:spacing w:line="360" w:lineRule="auto"/>
              <w:ind w:right="-5"/>
              <w:jc w:val="center"/>
              <w:rPr>
                <w:rFonts w:hint="eastAsia" w:ascii="宋体" w:hAnsi="宋体" w:eastAsia="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552B9FE0">
            <w:pPr>
              <w:spacing w:line="360" w:lineRule="auto"/>
              <w:ind w:right="-5"/>
              <w:jc w:val="center"/>
              <w:rPr>
                <w:rFonts w:hint="eastAsia" w:ascii="宋体" w:hAnsi="宋体" w:eastAsia="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05A14752">
            <w:pPr>
              <w:spacing w:line="360" w:lineRule="auto"/>
              <w:ind w:right="-5"/>
              <w:jc w:val="center"/>
              <w:rPr>
                <w:rFonts w:hint="eastAsia" w:ascii="宋体" w:hAnsi="宋体" w:eastAsia="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1739BA55">
            <w:pPr>
              <w:spacing w:line="360" w:lineRule="auto"/>
              <w:ind w:right="-5"/>
              <w:jc w:val="center"/>
              <w:rPr>
                <w:rFonts w:hint="eastAsia" w:ascii="宋体" w:hAnsi="宋体" w:eastAsia="宋体" w:cs="宋体"/>
                <w:color w:val="auto"/>
                <w:highlight w:val="none"/>
              </w:rPr>
            </w:pPr>
          </w:p>
        </w:tc>
      </w:tr>
      <w:tr w14:paraId="3876ED74">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5AA00E9A">
            <w:pPr>
              <w:spacing w:line="360" w:lineRule="auto"/>
              <w:ind w:right="-5"/>
              <w:jc w:val="center"/>
              <w:rPr>
                <w:rFonts w:hint="eastAsia" w:ascii="宋体" w:hAnsi="宋体" w:eastAsia="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495CFF37">
            <w:pPr>
              <w:spacing w:line="360" w:lineRule="auto"/>
              <w:ind w:right="-5"/>
              <w:jc w:val="center"/>
              <w:rPr>
                <w:rFonts w:hint="eastAsia" w:ascii="宋体" w:hAnsi="宋体" w:eastAsia="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0FB7AF95">
            <w:pPr>
              <w:spacing w:line="360" w:lineRule="auto"/>
              <w:ind w:right="-5"/>
              <w:jc w:val="center"/>
              <w:rPr>
                <w:rFonts w:hint="eastAsia" w:ascii="宋体" w:hAnsi="宋体" w:eastAsia="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14D7AF5D">
            <w:pPr>
              <w:spacing w:line="360" w:lineRule="auto"/>
              <w:ind w:right="-5"/>
              <w:jc w:val="center"/>
              <w:rPr>
                <w:rFonts w:hint="eastAsia" w:ascii="宋体" w:hAnsi="宋体" w:eastAsia="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316F3A29">
            <w:pPr>
              <w:spacing w:line="360" w:lineRule="auto"/>
              <w:ind w:right="-5"/>
              <w:jc w:val="center"/>
              <w:rPr>
                <w:rFonts w:hint="eastAsia" w:ascii="宋体" w:hAnsi="宋体" w:eastAsia="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1316F34A">
            <w:pPr>
              <w:spacing w:line="360" w:lineRule="auto"/>
              <w:ind w:right="-5"/>
              <w:jc w:val="center"/>
              <w:rPr>
                <w:rFonts w:hint="eastAsia" w:ascii="宋体" w:hAnsi="宋体" w:eastAsia="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728020CB">
            <w:pPr>
              <w:spacing w:line="360" w:lineRule="auto"/>
              <w:ind w:right="-5"/>
              <w:jc w:val="center"/>
              <w:rPr>
                <w:rFonts w:hint="eastAsia" w:ascii="宋体" w:hAnsi="宋体" w:eastAsia="宋体" w:cs="宋体"/>
                <w:color w:val="auto"/>
                <w:highlight w:val="none"/>
              </w:rPr>
            </w:pPr>
          </w:p>
        </w:tc>
      </w:tr>
      <w:tr w14:paraId="3BC7F888">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45804F96">
            <w:pPr>
              <w:spacing w:line="360" w:lineRule="auto"/>
              <w:ind w:right="-5"/>
              <w:jc w:val="center"/>
              <w:rPr>
                <w:rFonts w:hint="eastAsia" w:ascii="宋体" w:hAnsi="宋体" w:eastAsia="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6679FC2A">
            <w:pPr>
              <w:spacing w:line="360" w:lineRule="auto"/>
              <w:ind w:right="-5"/>
              <w:jc w:val="center"/>
              <w:rPr>
                <w:rFonts w:hint="eastAsia" w:ascii="宋体" w:hAnsi="宋体" w:eastAsia="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70CBCCD1">
            <w:pPr>
              <w:spacing w:line="360" w:lineRule="auto"/>
              <w:ind w:right="-5"/>
              <w:jc w:val="center"/>
              <w:rPr>
                <w:rFonts w:hint="eastAsia" w:ascii="宋体" w:hAnsi="宋体" w:eastAsia="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557D6DE7">
            <w:pPr>
              <w:spacing w:line="360" w:lineRule="auto"/>
              <w:ind w:right="-5"/>
              <w:jc w:val="center"/>
              <w:rPr>
                <w:rFonts w:hint="eastAsia" w:ascii="宋体" w:hAnsi="宋体" w:eastAsia="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47EE1A0C">
            <w:pPr>
              <w:spacing w:line="360" w:lineRule="auto"/>
              <w:ind w:right="-5"/>
              <w:jc w:val="center"/>
              <w:rPr>
                <w:rFonts w:hint="eastAsia" w:ascii="宋体" w:hAnsi="宋体" w:eastAsia="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146A241D">
            <w:pPr>
              <w:spacing w:line="360" w:lineRule="auto"/>
              <w:ind w:right="-5"/>
              <w:jc w:val="center"/>
              <w:rPr>
                <w:rFonts w:hint="eastAsia" w:ascii="宋体" w:hAnsi="宋体" w:eastAsia="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46F839A3">
            <w:pPr>
              <w:spacing w:line="360" w:lineRule="auto"/>
              <w:ind w:right="-5"/>
              <w:jc w:val="center"/>
              <w:rPr>
                <w:rFonts w:hint="eastAsia" w:ascii="宋体" w:hAnsi="宋体" w:eastAsia="宋体" w:cs="宋体"/>
                <w:color w:val="auto"/>
                <w:highlight w:val="none"/>
              </w:rPr>
            </w:pPr>
          </w:p>
        </w:tc>
      </w:tr>
    </w:tbl>
    <w:p w14:paraId="01965CD7">
      <w:pPr>
        <w:pStyle w:val="11"/>
        <w:spacing w:before="120" w:after="120" w:line="280" w:lineRule="exact"/>
        <w:jc w:val="left"/>
        <w:rPr>
          <w:rFonts w:hint="eastAsia" w:ascii="宋体" w:hAnsi="宋体" w:eastAsia="宋体" w:cs="宋体"/>
          <w:color w:val="auto"/>
          <w:highlight w:val="none"/>
          <w:lang w:bidi="th-TH"/>
        </w:rPr>
      </w:pPr>
      <w:r>
        <w:rPr>
          <w:rFonts w:hint="eastAsia" w:ascii="宋体" w:hAnsi="宋体" w:eastAsia="宋体" w:cs="宋体"/>
          <w:color w:val="auto"/>
          <w:highlight w:val="none"/>
          <w:lang w:bidi="th-TH"/>
        </w:rPr>
        <w:t>（格式可自拟）</w:t>
      </w:r>
    </w:p>
    <w:p w14:paraId="00745902">
      <w:pPr>
        <w:spacing w:line="500" w:lineRule="exact"/>
        <w:ind w:firstLine="37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投标人(公章) ：</w:t>
      </w:r>
      <w:r>
        <w:rPr>
          <w:rFonts w:hint="eastAsia" w:ascii="宋体" w:hAnsi="宋体" w:eastAsia="宋体" w:cs="宋体"/>
          <w:color w:val="auto"/>
          <w:sz w:val="24"/>
          <w:highlight w:val="none"/>
          <w:u w:val="single"/>
        </w:rPr>
        <w:t xml:space="preserve">                          </w:t>
      </w:r>
    </w:p>
    <w:p w14:paraId="0A875E59">
      <w:pPr>
        <w:spacing w:line="500" w:lineRule="exact"/>
        <w:ind w:firstLine="37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法定代表人（或者负责人）</w:t>
      </w:r>
    </w:p>
    <w:p w14:paraId="063B394A">
      <w:pPr>
        <w:spacing w:line="500" w:lineRule="exact"/>
        <w:ind w:firstLine="37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或授权代理人（签</w:t>
      </w:r>
      <w:r>
        <w:rPr>
          <w:rFonts w:hint="eastAsia" w:ascii="宋体" w:hAnsi="宋体" w:eastAsia="宋体" w:cs="宋体"/>
          <w:bCs/>
          <w:color w:val="auto"/>
          <w:sz w:val="24"/>
          <w:highlight w:val="none"/>
        </w:rPr>
        <w:t>名</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p>
    <w:p w14:paraId="29117285">
      <w:pPr>
        <w:pStyle w:val="11"/>
        <w:spacing w:before="120" w:after="120" w:line="280" w:lineRule="exact"/>
        <w:ind w:firstLine="3780"/>
        <w:jc w:val="left"/>
        <w:rPr>
          <w:rFonts w:hint="eastAsia" w:ascii="宋体" w:hAnsi="宋体" w:eastAsia="宋体" w:cs="宋体"/>
          <w:color w:val="auto"/>
          <w:highlight w:val="none"/>
          <w:u w:val="single"/>
          <w:lang w:bidi="th-TH"/>
        </w:rPr>
      </w:pPr>
      <w:r>
        <w:rPr>
          <w:rFonts w:hint="eastAsia" w:ascii="宋体" w:hAnsi="宋体" w:eastAsia="宋体" w:cs="宋体"/>
          <w:color w:val="auto"/>
          <w:sz w:val="24"/>
          <w:highlight w:val="none"/>
        </w:rPr>
        <w:t xml:space="preserve">日       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1D632042">
      <w:pPr>
        <w:spacing w:line="480" w:lineRule="exact"/>
        <w:jc w:val="center"/>
        <w:rPr>
          <w:rFonts w:hint="eastAsia" w:ascii="宋体" w:hAnsi="宋体" w:eastAsia="宋体" w:cs="宋体"/>
          <w:b/>
          <w:bCs/>
          <w:color w:val="auto"/>
          <w:sz w:val="36"/>
          <w:szCs w:val="36"/>
          <w:highlight w:val="none"/>
        </w:rPr>
      </w:pPr>
    </w:p>
    <w:p w14:paraId="7ED95515">
      <w:pPr>
        <w:pStyle w:val="12"/>
        <w:rPr>
          <w:rFonts w:hint="eastAsia" w:ascii="宋体" w:hAnsi="宋体" w:eastAsia="宋体" w:cs="宋体"/>
          <w:color w:val="auto"/>
          <w:highlight w:val="none"/>
        </w:rPr>
      </w:pPr>
    </w:p>
    <w:p w14:paraId="72A20BA9">
      <w:pPr>
        <w:rPr>
          <w:rFonts w:hint="eastAsia" w:ascii="宋体" w:hAnsi="宋体" w:eastAsia="宋体" w:cs="宋体"/>
          <w:color w:val="auto"/>
          <w:highlight w:val="none"/>
        </w:rPr>
      </w:pPr>
    </w:p>
    <w:p w14:paraId="4DA652BF">
      <w:pPr>
        <w:pStyle w:val="12"/>
        <w:rPr>
          <w:rFonts w:hint="eastAsia" w:ascii="宋体" w:hAnsi="宋体" w:eastAsia="宋体" w:cs="宋体"/>
          <w:color w:val="auto"/>
          <w:highlight w:val="none"/>
        </w:rPr>
      </w:pPr>
    </w:p>
    <w:p w14:paraId="00C14913">
      <w:pPr>
        <w:rPr>
          <w:rFonts w:hint="eastAsia" w:ascii="宋体" w:hAnsi="宋体" w:eastAsia="宋体" w:cs="宋体"/>
          <w:color w:val="auto"/>
          <w:highlight w:val="none"/>
        </w:rPr>
      </w:pPr>
    </w:p>
    <w:p w14:paraId="121D0FA8">
      <w:pPr>
        <w:pStyle w:val="12"/>
        <w:rPr>
          <w:rFonts w:hint="eastAsia" w:ascii="宋体" w:hAnsi="宋体" w:eastAsia="宋体" w:cs="宋体"/>
          <w:color w:val="auto"/>
          <w:highlight w:val="none"/>
        </w:rPr>
      </w:pPr>
    </w:p>
    <w:p w14:paraId="7FEE6AE2">
      <w:pPr>
        <w:pStyle w:val="12"/>
        <w:rPr>
          <w:rFonts w:hint="eastAsia" w:ascii="宋体" w:hAnsi="宋体" w:eastAsia="宋体" w:cs="宋体"/>
          <w:color w:val="auto"/>
          <w:highlight w:val="none"/>
        </w:rPr>
      </w:pPr>
    </w:p>
    <w:p w14:paraId="7887570C">
      <w:pPr>
        <w:rPr>
          <w:rFonts w:hint="eastAsia" w:ascii="宋体" w:hAnsi="宋体" w:eastAsia="宋体" w:cs="宋体"/>
          <w:color w:val="auto"/>
          <w:highlight w:val="none"/>
        </w:rPr>
      </w:pPr>
    </w:p>
    <w:p w14:paraId="7B236204">
      <w:pPr>
        <w:pStyle w:val="12"/>
        <w:rPr>
          <w:rFonts w:hint="eastAsia" w:ascii="宋体" w:hAnsi="宋体" w:eastAsia="宋体" w:cs="宋体"/>
          <w:color w:val="auto"/>
          <w:highlight w:val="none"/>
        </w:rPr>
      </w:pPr>
    </w:p>
    <w:p w14:paraId="17741AA2">
      <w:pPr>
        <w:pStyle w:val="15"/>
        <w:spacing w:beforeAutospacing="0" w:afterAutospacing="0"/>
        <w:jc w:val="center"/>
        <w:rPr>
          <w:rFonts w:hint="eastAsia" w:ascii="宋体" w:hAnsi="宋体" w:eastAsia="宋体" w:cs="宋体"/>
          <w:b/>
          <w:bCs/>
          <w:color w:val="auto"/>
          <w:sz w:val="36"/>
          <w:szCs w:val="36"/>
          <w:highlight w:val="none"/>
        </w:rPr>
      </w:pPr>
    </w:p>
    <w:p w14:paraId="5C2E70F9">
      <w:pPr>
        <w:pStyle w:val="15"/>
        <w:spacing w:beforeAutospacing="0" w:afterAutospacing="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（十</w:t>
      </w:r>
      <w:r>
        <w:rPr>
          <w:rFonts w:hint="eastAsia" w:ascii="宋体" w:hAnsi="宋体" w:eastAsia="宋体" w:cs="宋体"/>
          <w:b/>
          <w:bCs/>
          <w:color w:val="auto"/>
          <w:sz w:val="36"/>
          <w:szCs w:val="36"/>
          <w:highlight w:val="none"/>
          <w:lang w:val="en-US" w:eastAsia="zh-CN"/>
        </w:rPr>
        <w:t>三</w:t>
      </w:r>
      <w:r>
        <w:rPr>
          <w:rFonts w:hint="eastAsia" w:ascii="宋体" w:hAnsi="宋体" w:eastAsia="宋体" w:cs="宋体"/>
          <w:b/>
          <w:bCs/>
          <w:color w:val="auto"/>
          <w:sz w:val="36"/>
          <w:szCs w:val="36"/>
          <w:highlight w:val="none"/>
        </w:rPr>
        <w:t>）商务要求响应及偏离表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6E5C7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4" w:type="dxa"/>
            <w:vAlign w:val="center"/>
          </w:tcPr>
          <w:p w14:paraId="7CB0DC2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852" w:type="dxa"/>
            <w:vAlign w:val="center"/>
          </w:tcPr>
          <w:p w14:paraId="27FB440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招标要求</w:t>
            </w:r>
          </w:p>
        </w:tc>
        <w:tc>
          <w:tcPr>
            <w:tcW w:w="2852" w:type="dxa"/>
            <w:vAlign w:val="center"/>
          </w:tcPr>
          <w:p w14:paraId="6D6E65E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w:t>
            </w:r>
          </w:p>
        </w:tc>
        <w:tc>
          <w:tcPr>
            <w:tcW w:w="1308" w:type="dxa"/>
            <w:vAlign w:val="center"/>
          </w:tcPr>
          <w:p w14:paraId="3F47940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c>
          <w:tcPr>
            <w:tcW w:w="1173" w:type="dxa"/>
            <w:vAlign w:val="center"/>
          </w:tcPr>
          <w:p w14:paraId="38068D0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原因</w:t>
            </w:r>
          </w:p>
        </w:tc>
      </w:tr>
      <w:tr w14:paraId="7DFC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6C2688AD">
            <w:pPr>
              <w:jc w:val="center"/>
              <w:rPr>
                <w:rFonts w:hint="eastAsia" w:ascii="宋体" w:hAnsi="宋体" w:eastAsia="宋体" w:cs="宋体"/>
                <w:color w:val="auto"/>
                <w:sz w:val="24"/>
                <w:szCs w:val="24"/>
                <w:highlight w:val="none"/>
              </w:rPr>
            </w:pPr>
          </w:p>
        </w:tc>
        <w:tc>
          <w:tcPr>
            <w:tcW w:w="2852" w:type="dxa"/>
          </w:tcPr>
          <w:p w14:paraId="1D56501B">
            <w:pPr>
              <w:jc w:val="center"/>
              <w:rPr>
                <w:rFonts w:hint="eastAsia" w:ascii="宋体" w:hAnsi="宋体" w:eastAsia="宋体" w:cs="宋体"/>
                <w:color w:val="auto"/>
                <w:sz w:val="24"/>
                <w:szCs w:val="24"/>
                <w:highlight w:val="none"/>
              </w:rPr>
            </w:pPr>
          </w:p>
        </w:tc>
        <w:tc>
          <w:tcPr>
            <w:tcW w:w="2852" w:type="dxa"/>
          </w:tcPr>
          <w:p w14:paraId="134BEE02">
            <w:pPr>
              <w:jc w:val="center"/>
              <w:rPr>
                <w:rFonts w:hint="eastAsia" w:ascii="宋体" w:hAnsi="宋体" w:eastAsia="宋体" w:cs="宋体"/>
                <w:color w:val="auto"/>
                <w:sz w:val="24"/>
                <w:szCs w:val="24"/>
                <w:highlight w:val="none"/>
              </w:rPr>
            </w:pPr>
          </w:p>
        </w:tc>
        <w:tc>
          <w:tcPr>
            <w:tcW w:w="1308" w:type="dxa"/>
          </w:tcPr>
          <w:p w14:paraId="62F6802A">
            <w:pPr>
              <w:jc w:val="center"/>
              <w:rPr>
                <w:rFonts w:hint="eastAsia" w:ascii="宋体" w:hAnsi="宋体" w:eastAsia="宋体" w:cs="宋体"/>
                <w:color w:val="auto"/>
                <w:sz w:val="24"/>
                <w:szCs w:val="24"/>
                <w:highlight w:val="none"/>
              </w:rPr>
            </w:pPr>
          </w:p>
        </w:tc>
        <w:tc>
          <w:tcPr>
            <w:tcW w:w="1173" w:type="dxa"/>
          </w:tcPr>
          <w:p w14:paraId="259FC95D">
            <w:pPr>
              <w:jc w:val="center"/>
              <w:rPr>
                <w:rFonts w:hint="eastAsia" w:ascii="宋体" w:hAnsi="宋体" w:eastAsia="宋体" w:cs="宋体"/>
                <w:color w:val="auto"/>
                <w:sz w:val="24"/>
                <w:szCs w:val="24"/>
                <w:highlight w:val="none"/>
              </w:rPr>
            </w:pPr>
          </w:p>
        </w:tc>
      </w:tr>
      <w:tr w14:paraId="31BF3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64D7D595">
            <w:pPr>
              <w:jc w:val="center"/>
              <w:rPr>
                <w:rFonts w:hint="eastAsia" w:ascii="宋体" w:hAnsi="宋体" w:eastAsia="宋体" w:cs="宋体"/>
                <w:color w:val="auto"/>
                <w:sz w:val="24"/>
                <w:szCs w:val="24"/>
                <w:highlight w:val="none"/>
              </w:rPr>
            </w:pPr>
          </w:p>
        </w:tc>
        <w:tc>
          <w:tcPr>
            <w:tcW w:w="2852" w:type="dxa"/>
          </w:tcPr>
          <w:p w14:paraId="47299F4D">
            <w:pPr>
              <w:jc w:val="center"/>
              <w:rPr>
                <w:rFonts w:hint="eastAsia" w:ascii="宋体" w:hAnsi="宋体" w:eastAsia="宋体" w:cs="宋体"/>
                <w:color w:val="auto"/>
                <w:sz w:val="24"/>
                <w:szCs w:val="24"/>
                <w:highlight w:val="none"/>
              </w:rPr>
            </w:pPr>
          </w:p>
        </w:tc>
        <w:tc>
          <w:tcPr>
            <w:tcW w:w="2852" w:type="dxa"/>
          </w:tcPr>
          <w:p w14:paraId="22D13593">
            <w:pPr>
              <w:jc w:val="center"/>
              <w:rPr>
                <w:rFonts w:hint="eastAsia" w:ascii="宋体" w:hAnsi="宋体" w:eastAsia="宋体" w:cs="宋体"/>
                <w:color w:val="auto"/>
                <w:sz w:val="24"/>
                <w:szCs w:val="24"/>
                <w:highlight w:val="none"/>
              </w:rPr>
            </w:pPr>
          </w:p>
        </w:tc>
        <w:tc>
          <w:tcPr>
            <w:tcW w:w="1308" w:type="dxa"/>
          </w:tcPr>
          <w:p w14:paraId="4F0111C2">
            <w:pPr>
              <w:jc w:val="center"/>
              <w:rPr>
                <w:rFonts w:hint="eastAsia" w:ascii="宋体" w:hAnsi="宋体" w:eastAsia="宋体" w:cs="宋体"/>
                <w:color w:val="auto"/>
                <w:sz w:val="24"/>
                <w:szCs w:val="24"/>
                <w:highlight w:val="none"/>
              </w:rPr>
            </w:pPr>
          </w:p>
        </w:tc>
        <w:tc>
          <w:tcPr>
            <w:tcW w:w="1173" w:type="dxa"/>
          </w:tcPr>
          <w:p w14:paraId="771312A5">
            <w:pPr>
              <w:jc w:val="center"/>
              <w:rPr>
                <w:rFonts w:hint="eastAsia" w:ascii="宋体" w:hAnsi="宋体" w:eastAsia="宋体" w:cs="宋体"/>
                <w:color w:val="auto"/>
                <w:sz w:val="24"/>
                <w:szCs w:val="24"/>
                <w:highlight w:val="none"/>
              </w:rPr>
            </w:pPr>
          </w:p>
        </w:tc>
      </w:tr>
      <w:tr w14:paraId="54C46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0F786A48">
            <w:pPr>
              <w:jc w:val="center"/>
              <w:rPr>
                <w:rFonts w:hint="eastAsia" w:ascii="宋体" w:hAnsi="宋体" w:eastAsia="宋体" w:cs="宋体"/>
                <w:color w:val="auto"/>
                <w:sz w:val="24"/>
                <w:szCs w:val="24"/>
                <w:highlight w:val="none"/>
              </w:rPr>
            </w:pPr>
          </w:p>
        </w:tc>
        <w:tc>
          <w:tcPr>
            <w:tcW w:w="2852" w:type="dxa"/>
          </w:tcPr>
          <w:p w14:paraId="19920002">
            <w:pPr>
              <w:jc w:val="center"/>
              <w:rPr>
                <w:rFonts w:hint="eastAsia" w:ascii="宋体" w:hAnsi="宋体" w:eastAsia="宋体" w:cs="宋体"/>
                <w:color w:val="auto"/>
                <w:sz w:val="24"/>
                <w:szCs w:val="24"/>
                <w:highlight w:val="none"/>
              </w:rPr>
            </w:pPr>
          </w:p>
        </w:tc>
        <w:tc>
          <w:tcPr>
            <w:tcW w:w="2852" w:type="dxa"/>
          </w:tcPr>
          <w:p w14:paraId="11171AE1">
            <w:pPr>
              <w:jc w:val="center"/>
              <w:rPr>
                <w:rFonts w:hint="eastAsia" w:ascii="宋体" w:hAnsi="宋体" w:eastAsia="宋体" w:cs="宋体"/>
                <w:color w:val="auto"/>
                <w:sz w:val="24"/>
                <w:szCs w:val="24"/>
                <w:highlight w:val="none"/>
              </w:rPr>
            </w:pPr>
          </w:p>
        </w:tc>
        <w:tc>
          <w:tcPr>
            <w:tcW w:w="1308" w:type="dxa"/>
          </w:tcPr>
          <w:p w14:paraId="3E6EEE86">
            <w:pPr>
              <w:jc w:val="center"/>
              <w:rPr>
                <w:rFonts w:hint="eastAsia" w:ascii="宋体" w:hAnsi="宋体" w:eastAsia="宋体" w:cs="宋体"/>
                <w:color w:val="auto"/>
                <w:sz w:val="24"/>
                <w:szCs w:val="24"/>
                <w:highlight w:val="none"/>
              </w:rPr>
            </w:pPr>
          </w:p>
        </w:tc>
        <w:tc>
          <w:tcPr>
            <w:tcW w:w="1173" w:type="dxa"/>
          </w:tcPr>
          <w:p w14:paraId="40C15AC7">
            <w:pPr>
              <w:jc w:val="center"/>
              <w:rPr>
                <w:rFonts w:hint="eastAsia" w:ascii="宋体" w:hAnsi="宋体" w:eastAsia="宋体" w:cs="宋体"/>
                <w:color w:val="auto"/>
                <w:sz w:val="24"/>
                <w:szCs w:val="24"/>
                <w:highlight w:val="none"/>
              </w:rPr>
            </w:pPr>
          </w:p>
        </w:tc>
      </w:tr>
      <w:tr w14:paraId="495CA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0D5BE484">
            <w:pPr>
              <w:jc w:val="center"/>
              <w:rPr>
                <w:rFonts w:hint="eastAsia" w:ascii="宋体" w:hAnsi="宋体" w:eastAsia="宋体" w:cs="宋体"/>
                <w:color w:val="auto"/>
                <w:sz w:val="24"/>
                <w:szCs w:val="24"/>
                <w:highlight w:val="none"/>
              </w:rPr>
            </w:pPr>
          </w:p>
        </w:tc>
        <w:tc>
          <w:tcPr>
            <w:tcW w:w="2852" w:type="dxa"/>
          </w:tcPr>
          <w:p w14:paraId="195A5FD7">
            <w:pPr>
              <w:jc w:val="center"/>
              <w:rPr>
                <w:rFonts w:hint="eastAsia" w:ascii="宋体" w:hAnsi="宋体" w:eastAsia="宋体" w:cs="宋体"/>
                <w:color w:val="auto"/>
                <w:sz w:val="24"/>
                <w:szCs w:val="24"/>
                <w:highlight w:val="none"/>
              </w:rPr>
            </w:pPr>
          </w:p>
        </w:tc>
        <w:tc>
          <w:tcPr>
            <w:tcW w:w="2852" w:type="dxa"/>
          </w:tcPr>
          <w:p w14:paraId="3B1B8450">
            <w:pPr>
              <w:jc w:val="center"/>
              <w:rPr>
                <w:rFonts w:hint="eastAsia" w:ascii="宋体" w:hAnsi="宋体" w:eastAsia="宋体" w:cs="宋体"/>
                <w:color w:val="auto"/>
                <w:sz w:val="24"/>
                <w:szCs w:val="24"/>
                <w:highlight w:val="none"/>
              </w:rPr>
            </w:pPr>
          </w:p>
        </w:tc>
        <w:tc>
          <w:tcPr>
            <w:tcW w:w="1308" w:type="dxa"/>
          </w:tcPr>
          <w:p w14:paraId="29AFB64C">
            <w:pPr>
              <w:jc w:val="center"/>
              <w:rPr>
                <w:rFonts w:hint="eastAsia" w:ascii="宋体" w:hAnsi="宋体" w:eastAsia="宋体" w:cs="宋体"/>
                <w:color w:val="auto"/>
                <w:sz w:val="24"/>
                <w:szCs w:val="24"/>
                <w:highlight w:val="none"/>
              </w:rPr>
            </w:pPr>
          </w:p>
        </w:tc>
        <w:tc>
          <w:tcPr>
            <w:tcW w:w="1173" w:type="dxa"/>
          </w:tcPr>
          <w:p w14:paraId="54F15527">
            <w:pPr>
              <w:jc w:val="center"/>
              <w:rPr>
                <w:rFonts w:hint="eastAsia" w:ascii="宋体" w:hAnsi="宋体" w:eastAsia="宋体" w:cs="宋体"/>
                <w:color w:val="auto"/>
                <w:sz w:val="24"/>
                <w:szCs w:val="24"/>
                <w:highlight w:val="none"/>
              </w:rPr>
            </w:pPr>
          </w:p>
        </w:tc>
      </w:tr>
      <w:tr w14:paraId="0EC16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028B825B">
            <w:pPr>
              <w:jc w:val="center"/>
              <w:rPr>
                <w:rFonts w:hint="eastAsia" w:ascii="宋体" w:hAnsi="宋体" w:eastAsia="宋体" w:cs="宋体"/>
                <w:color w:val="auto"/>
                <w:sz w:val="24"/>
                <w:szCs w:val="24"/>
                <w:highlight w:val="none"/>
              </w:rPr>
            </w:pPr>
          </w:p>
        </w:tc>
        <w:tc>
          <w:tcPr>
            <w:tcW w:w="2852" w:type="dxa"/>
          </w:tcPr>
          <w:p w14:paraId="3D148BD0">
            <w:pPr>
              <w:jc w:val="center"/>
              <w:rPr>
                <w:rFonts w:hint="eastAsia" w:ascii="宋体" w:hAnsi="宋体" w:eastAsia="宋体" w:cs="宋体"/>
                <w:color w:val="auto"/>
                <w:sz w:val="24"/>
                <w:szCs w:val="24"/>
                <w:highlight w:val="none"/>
              </w:rPr>
            </w:pPr>
          </w:p>
        </w:tc>
        <w:tc>
          <w:tcPr>
            <w:tcW w:w="2852" w:type="dxa"/>
          </w:tcPr>
          <w:p w14:paraId="58449197">
            <w:pPr>
              <w:jc w:val="center"/>
              <w:rPr>
                <w:rFonts w:hint="eastAsia" w:ascii="宋体" w:hAnsi="宋体" w:eastAsia="宋体" w:cs="宋体"/>
                <w:color w:val="auto"/>
                <w:sz w:val="24"/>
                <w:szCs w:val="24"/>
                <w:highlight w:val="none"/>
              </w:rPr>
            </w:pPr>
          </w:p>
        </w:tc>
        <w:tc>
          <w:tcPr>
            <w:tcW w:w="1308" w:type="dxa"/>
          </w:tcPr>
          <w:p w14:paraId="59923555">
            <w:pPr>
              <w:jc w:val="center"/>
              <w:rPr>
                <w:rFonts w:hint="eastAsia" w:ascii="宋体" w:hAnsi="宋体" w:eastAsia="宋体" w:cs="宋体"/>
                <w:color w:val="auto"/>
                <w:sz w:val="24"/>
                <w:szCs w:val="24"/>
                <w:highlight w:val="none"/>
              </w:rPr>
            </w:pPr>
          </w:p>
        </w:tc>
        <w:tc>
          <w:tcPr>
            <w:tcW w:w="1173" w:type="dxa"/>
          </w:tcPr>
          <w:p w14:paraId="5914D1CC">
            <w:pPr>
              <w:jc w:val="center"/>
              <w:rPr>
                <w:rFonts w:hint="eastAsia" w:ascii="宋体" w:hAnsi="宋体" w:eastAsia="宋体" w:cs="宋体"/>
                <w:color w:val="auto"/>
                <w:sz w:val="24"/>
                <w:szCs w:val="24"/>
                <w:highlight w:val="none"/>
              </w:rPr>
            </w:pPr>
          </w:p>
        </w:tc>
      </w:tr>
      <w:tr w14:paraId="41614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2D0216FB">
            <w:pPr>
              <w:jc w:val="center"/>
              <w:rPr>
                <w:rFonts w:hint="eastAsia" w:ascii="宋体" w:hAnsi="宋体" w:eastAsia="宋体" w:cs="宋体"/>
                <w:color w:val="auto"/>
                <w:sz w:val="24"/>
                <w:szCs w:val="24"/>
                <w:highlight w:val="none"/>
              </w:rPr>
            </w:pPr>
          </w:p>
        </w:tc>
        <w:tc>
          <w:tcPr>
            <w:tcW w:w="2852" w:type="dxa"/>
          </w:tcPr>
          <w:p w14:paraId="4438722D">
            <w:pPr>
              <w:jc w:val="center"/>
              <w:rPr>
                <w:rFonts w:hint="eastAsia" w:ascii="宋体" w:hAnsi="宋体" w:eastAsia="宋体" w:cs="宋体"/>
                <w:color w:val="auto"/>
                <w:sz w:val="24"/>
                <w:szCs w:val="24"/>
                <w:highlight w:val="none"/>
              </w:rPr>
            </w:pPr>
          </w:p>
        </w:tc>
        <w:tc>
          <w:tcPr>
            <w:tcW w:w="2852" w:type="dxa"/>
          </w:tcPr>
          <w:p w14:paraId="4480FDC4">
            <w:pPr>
              <w:jc w:val="center"/>
              <w:rPr>
                <w:rFonts w:hint="eastAsia" w:ascii="宋体" w:hAnsi="宋体" w:eastAsia="宋体" w:cs="宋体"/>
                <w:color w:val="auto"/>
                <w:sz w:val="24"/>
                <w:szCs w:val="24"/>
                <w:highlight w:val="none"/>
              </w:rPr>
            </w:pPr>
          </w:p>
        </w:tc>
        <w:tc>
          <w:tcPr>
            <w:tcW w:w="1308" w:type="dxa"/>
          </w:tcPr>
          <w:p w14:paraId="239424BE">
            <w:pPr>
              <w:jc w:val="center"/>
              <w:rPr>
                <w:rFonts w:hint="eastAsia" w:ascii="宋体" w:hAnsi="宋体" w:eastAsia="宋体" w:cs="宋体"/>
                <w:color w:val="auto"/>
                <w:sz w:val="24"/>
                <w:szCs w:val="24"/>
                <w:highlight w:val="none"/>
              </w:rPr>
            </w:pPr>
          </w:p>
        </w:tc>
        <w:tc>
          <w:tcPr>
            <w:tcW w:w="1173" w:type="dxa"/>
          </w:tcPr>
          <w:p w14:paraId="05524D04">
            <w:pPr>
              <w:jc w:val="center"/>
              <w:rPr>
                <w:rFonts w:hint="eastAsia" w:ascii="宋体" w:hAnsi="宋体" w:eastAsia="宋体" w:cs="宋体"/>
                <w:color w:val="auto"/>
                <w:sz w:val="24"/>
                <w:szCs w:val="24"/>
                <w:highlight w:val="none"/>
              </w:rPr>
            </w:pPr>
          </w:p>
        </w:tc>
      </w:tr>
      <w:tr w14:paraId="62D0C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4C76C51D">
            <w:pPr>
              <w:jc w:val="center"/>
              <w:rPr>
                <w:rFonts w:hint="eastAsia" w:ascii="宋体" w:hAnsi="宋体" w:eastAsia="宋体" w:cs="宋体"/>
                <w:color w:val="auto"/>
                <w:sz w:val="24"/>
                <w:szCs w:val="24"/>
                <w:highlight w:val="none"/>
              </w:rPr>
            </w:pPr>
          </w:p>
        </w:tc>
        <w:tc>
          <w:tcPr>
            <w:tcW w:w="2852" w:type="dxa"/>
          </w:tcPr>
          <w:p w14:paraId="0374CFF7">
            <w:pPr>
              <w:jc w:val="center"/>
              <w:rPr>
                <w:rFonts w:hint="eastAsia" w:ascii="宋体" w:hAnsi="宋体" w:eastAsia="宋体" w:cs="宋体"/>
                <w:color w:val="auto"/>
                <w:sz w:val="24"/>
                <w:szCs w:val="24"/>
                <w:highlight w:val="none"/>
              </w:rPr>
            </w:pPr>
          </w:p>
        </w:tc>
        <w:tc>
          <w:tcPr>
            <w:tcW w:w="2852" w:type="dxa"/>
          </w:tcPr>
          <w:p w14:paraId="335AF5D2">
            <w:pPr>
              <w:jc w:val="center"/>
              <w:rPr>
                <w:rFonts w:hint="eastAsia" w:ascii="宋体" w:hAnsi="宋体" w:eastAsia="宋体" w:cs="宋体"/>
                <w:color w:val="auto"/>
                <w:sz w:val="24"/>
                <w:szCs w:val="24"/>
                <w:highlight w:val="none"/>
              </w:rPr>
            </w:pPr>
          </w:p>
        </w:tc>
        <w:tc>
          <w:tcPr>
            <w:tcW w:w="1308" w:type="dxa"/>
          </w:tcPr>
          <w:p w14:paraId="439550E1">
            <w:pPr>
              <w:jc w:val="center"/>
              <w:rPr>
                <w:rFonts w:hint="eastAsia" w:ascii="宋体" w:hAnsi="宋体" w:eastAsia="宋体" w:cs="宋体"/>
                <w:color w:val="auto"/>
                <w:sz w:val="24"/>
                <w:szCs w:val="24"/>
                <w:highlight w:val="none"/>
              </w:rPr>
            </w:pPr>
          </w:p>
        </w:tc>
        <w:tc>
          <w:tcPr>
            <w:tcW w:w="1173" w:type="dxa"/>
          </w:tcPr>
          <w:p w14:paraId="524CAE8A">
            <w:pPr>
              <w:jc w:val="center"/>
              <w:rPr>
                <w:rFonts w:hint="eastAsia" w:ascii="宋体" w:hAnsi="宋体" w:eastAsia="宋体" w:cs="宋体"/>
                <w:color w:val="auto"/>
                <w:sz w:val="24"/>
                <w:szCs w:val="24"/>
                <w:highlight w:val="none"/>
              </w:rPr>
            </w:pPr>
          </w:p>
        </w:tc>
      </w:tr>
      <w:tr w14:paraId="7AFA4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7E4B3D28">
            <w:pPr>
              <w:jc w:val="center"/>
              <w:rPr>
                <w:rFonts w:hint="eastAsia" w:ascii="宋体" w:hAnsi="宋体" w:eastAsia="宋体" w:cs="宋体"/>
                <w:color w:val="auto"/>
                <w:sz w:val="24"/>
                <w:szCs w:val="24"/>
                <w:highlight w:val="none"/>
              </w:rPr>
            </w:pPr>
          </w:p>
        </w:tc>
        <w:tc>
          <w:tcPr>
            <w:tcW w:w="2852" w:type="dxa"/>
          </w:tcPr>
          <w:p w14:paraId="27763692">
            <w:pPr>
              <w:jc w:val="center"/>
              <w:rPr>
                <w:rFonts w:hint="eastAsia" w:ascii="宋体" w:hAnsi="宋体" w:eastAsia="宋体" w:cs="宋体"/>
                <w:color w:val="auto"/>
                <w:sz w:val="24"/>
                <w:szCs w:val="24"/>
                <w:highlight w:val="none"/>
              </w:rPr>
            </w:pPr>
          </w:p>
        </w:tc>
        <w:tc>
          <w:tcPr>
            <w:tcW w:w="2852" w:type="dxa"/>
          </w:tcPr>
          <w:p w14:paraId="7D184F6F">
            <w:pPr>
              <w:jc w:val="center"/>
              <w:rPr>
                <w:rFonts w:hint="eastAsia" w:ascii="宋体" w:hAnsi="宋体" w:eastAsia="宋体" w:cs="宋体"/>
                <w:color w:val="auto"/>
                <w:sz w:val="24"/>
                <w:szCs w:val="24"/>
                <w:highlight w:val="none"/>
              </w:rPr>
            </w:pPr>
          </w:p>
        </w:tc>
        <w:tc>
          <w:tcPr>
            <w:tcW w:w="1308" w:type="dxa"/>
          </w:tcPr>
          <w:p w14:paraId="28AC51B5">
            <w:pPr>
              <w:jc w:val="center"/>
              <w:rPr>
                <w:rFonts w:hint="eastAsia" w:ascii="宋体" w:hAnsi="宋体" w:eastAsia="宋体" w:cs="宋体"/>
                <w:color w:val="auto"/>
                <w:sz w:val="24"/>
                <w:szCs w:val="24"/>
                <w:highlight w:val="none"/>
              </w:rPr>
            </w:pPr>
          </w:p>
        </w:tc>
        <w:tc>
          <w:tcPr>
            <w:tcW w:w="1173" w:type="dxa"/>
          </w:tcPr>
          <w:p w14:paraId="75C7544F">
            <w:pPr>
              <w:jc w:val="center"/>
              <w:rPr>
                <w:rFonts w:hint="eastAsia" w:ascii="宋体" w:hAnsi="宋体" w:eastAsia="宋体" w:cs="宋体"/>
                <w:color w:val="auto"/>
                <w:sz w:val="24"/>
                <w:szCs w:val="24"/>
                <w:highlight w:val="none"/>
              </w:rPr>
            </w:pPr>
          </w:p>
        </w:tc>
      </w:tr>
    </w:tbl>
    <w:p w14:paraId="6E6D650B">
      <w:pPr>
        <w:rPr>
          <w:rFonts w:hint="eastAsia" w:ascii="宋体" w:hAnsi="宋体" w:eastAsia="宋体" w:cs="宋体"/>
          <w:color w:val="auto"/>
          <w:sz w:val="24"/>
          <w:szCs w:val="24"/>
          <w:highlight w:val="none"/>
        </w:rPr>
      </w:pPr>
    </w:p>
    <w:p w14:paraId="75CA4AE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注：1、按照基本技术要求详细填列。</w:t>
      </w:r>
    </w:p>
    <w:p w14:paraId="6CA8A67B">
      <w:pPr>
        <w:numPr>
          <w:ilvl w:val="0"/>
          <w:numId w:val="6"/>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行数不够，可自行添加。</w:t>
      </w:r>
    </w:p>
    <w:p w14:paraId="1D07B4CC">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3、技术偏离表应针对项目需求逐条应答。</w:t>
      </w:r>
    </w:p>
    <w:p w14:paraId="4BAFB02E">
      <w:pPr>
        <w:widowControl/>
        <w:spacing w:line="500" w:lineRule="exact"/>
        <w:ind w:firstLine="120"/>
        <w:jc w:val="left"/>
        <w:rPr>
          <w:rFonts w:hint="eastAsia" w:ascii="宋体" w:hAnsi="宋体" w:eastAsia="宋体" w:cs="宋体"/>
          <w:color w:val="auto"/>
          <w:sz w:val="24"/>
          <w:highlight w:val="none"/>
        </w:rPr>
      </w:pPr>
    </w:p>
    <w:p w14:paraId="2E06A5C9">
      <w:pPr>
        <w:pStyle w:val="24"/>
        <w:ind w:firstLine="0"/>
        <w:rPr>
          <w:rFonts w:hint="eastAsia" w:ascii="宋体" w:hAnsi="宋体" w:eastAsia="宋体" w:cs="宋体"/>
          <w:color w:val="auto"/>
          <w:highlight w:val="none"/>
        </w:rPr>
      </w:pPr>
    </w:p>
    <w:p w14:paraId="5012D806">
      <w:pPr>
        <w:widowControl/>
        <w:spacing w:line="46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法定代表人或授权代理人</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sz w:val="24"/>
          <w:highlight w:val="none"/>
        </w:rPr>
        <w:t>（签</w:t>
      </w:r>
      <w:r>
        <w:rPr>
          <w:rFonts w:hint="eastAsia" w:ascii="宋体" w:hAnsi="宋体" w:eastAsia="宋体" w:cs="宋体"/>
          <w:bCs/>
          <w:color w:val="auto"/>
          <w:sz w:val="24"/>
          <w:highlight w:val="none"/>
        </w:rPr>
        <w:t>名</w:t>
      </w:r>
      <w:r>
        <w:rPr>
          <w:rFonts w:hint="eastAsia" w:ascii="宋体" w:hAnsi="宋体" w:eastAsia="宋体" w:cs="宋体"/>
          <w:color w:val="auto"/>
          <w:sz w:val="24"/>
          <w:highlight w:val="none"/>
        </w:rPr>
        <w:t>）</w:t>
      </w:r>
    </w:p>
    <w:p w14:paraId="7DF64D5F">
      <w:pPr>
        <w:spacing w:before="100" w:beforeAutospacing="1" w:after="100" w:afterAutospacing="1"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  </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sz w:val="24"/>
          <w:highlight w:val="none"/>
        </w:rPr>
        <w:t xml:space="preserve"> （全称并加盖公章）</w:t>
      </w:r>
    </w:p>
    <w:p w14:paraId="6D0324A1">
      <w:pPr>
        <w:spacing w:before="100" w:beforeAutospacing="1" w:after="100" w:afterAutospacing="1" w:line="460" w:lineRule="exact"/>
        <w:ind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482D2C28">
      <w:pPr>
        <w:spacing w:before="100" w:beforeAutospacing="1" w:after="100" w:afterAutospacing="1" w:line="460" w:lineRule="exact"/>
        <w:ind w:firstLine="480"/>
        <w:jc w:val="right"/>
        <w:rPr>
          <w:rFonts w:hint="eastAsia" w:ascii="宋体" w:hAnsi="宋体" w:eastAsia="宋体" w:cs="宋体"/>
          <w:color w:val="auto"/>
          <w:sz w:val="24"/>
          <w:highlight w:val="none"/>
        </w:rPr>
      </w:pPr>
    </w:p>
    <w:p w14:paraId="53023841">
      <w:pPr>
        <w:spacing w:before="100" w:beforeAutospacing="1" w:after="100" w:afterAutospacing="1" w:line="460" w:lineRule="exact"/>
        <w:ind w:firstLine="480"/>
        <w:jc w:val="right"/>
        <w:rPr>
          <w:rFonts w:hint="eastAsia" w:ascii="宋体" w:hAnsi="宋体" w:eastAsia="宋体" w:cs="宋体"/>
          <w:color w:val="auto"/>
          <w:sz w:val="24"/>
          <w:highlight w:val="none"/>
        </w:rPr>
      </w:pPr>
    </w:p>
    <w:p w14:paraId="733131DE">
      <w:pPr>
        <w:spacing w:before="100" w:beforeAutospacing="1" w:after="100" w:afterAutospacing="1" w:line="460" w:lineRule="exact"/>
        <w:ind w:firstLine="480"/>
        <w:jc w:val="right"/>
        <w:rPr>
          <w:rFonts w:hint="eastAsia" w:ascii="宋体" w:hAnsi="宋体" w:eastAsia="宋体" w:cs="宋体"/>
          <w:color w:val="auto"/>
          <w:sz w:val="24"/>
          <w:highlight w:val="none"/>
        </w:rPr>
      </w:pPr>
    </w:p>
    <w:p w14:paraId="54D47E02">
      <w:pPr>
        <w:spacing w:before="100" w:beforeAutospacing="1" w:after="100" w:afterAutospacing="1" w:line="460" w:lineRule="exact"/>
        <w:ind w:firstLine="480"/>
        <w:jc w:val="right"/>
        <w:rPr>
          <w:rFonts w:hint="eastAsia" w:ascii="宋体" w:hAnsi="宋体" w:eastAsia="宋体" w:cs="宋体"/>
          <w:color w:val="auto"/>
          <w:sz w:val="24"/>
          <w:highlight w:val="none"/>
        </w:rPr>
      </w:pPr>
    </w:p>
    <w:p w14:paraId="6C525A18">
      <w:pPr>
        <w:spacing w:before="100" w:beforeAutospacing="1" w:after="100" w:afterAutospacing="1" w:line="460" w:lineRule="exact"/>
        <w:ind w:firstLine="480"/>
        <w:jc w:val="right"/>
        <w:rPr>
          <w:rFonts w:hint="eastAsia" w:ascii="宋体" w:hAnsi="宋体" w:eastAsia="宋体" w:cs="宋体"/>
          <w:color w:val="auto"/>
          <w:sz w:val="24"/>
          <w:highlight w:val="none"/>
        </w:rPr>
      </w:pPr>
    </w:p>
    <w:p w14:paraId="4E43D529">
      <w:pPr>
        <w:spacing w:before="50" w:after="50"/>
        <w:jc w:val="both"/>
        <w:rPr>
          <w:rFonts w:hint="eastAsia" w:ascii="宋体" w:hAnsi="宋体" w:eastAsia="宋体" w:cs="宋体"/>
          <w:color w:val="auto"/>
          <w:sz w:val="32"/>
          <w:szCs w:val="32"/>
          <w:highlight w:val="none"/>
        </w:rPr>
      </w:pPr>
    </w:p>
    <w:p w14:paraId="1428D6FD">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十四</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配备人员一览表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260"/>
        <w:gridCol w:w="1205"/>
        <w:gridCol w:w="906"/>
        <w:gridCol w:w="713"/>
        <w:gridCol w:w="966"/>
        <w:gridCol w:w="2409"/>
        <w:gridCol w:w="1890"/>
      </w:tblGrid>
      <w:tr w14:paraId="07F2B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000000" w:sz="2" w:space="0"/>
              <w:left w:val="single" w:color="000000" w:sz="2" w:space="0"/>
              <w:bottom w:val="single" w:color="000000" w:sz="2" w:space="0"/>
              <w:right w:val="single" w:color="000000" w:sz="2" w:space="0"/>
            </w:tcBorders>
            <w:noWrap w:val="0"/>
            <w:vAlign w:val="center"/>
          </w:tcPr>
          <w:p w14:paraId="17BDBBDB">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260" w:type="dxa"/>
            <w:tcBorders>
              <w:top w:val="single" w:color="000000" w:sz="2" w:space="0"/>
              <w:left w:val="single" w:color="auto" w:sz="4" w:space="0"/>
              <w:bottom w:val="single" w:color="000000" w:sz="2" w:space="0"/>
              <w:right w:val="single" w:color="auto" w:sz="4" w:space="0"/>
            </w:tcBorders>
            <w:noWrap w:val="0"/>
            <w:vAlign w:val="center"/>
          </w:tcPr>
          <w:p w14:paraId="7AED711A">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岗位</w:t>
            </w:r>
          </w:p>
        </w:tc>
        <w:tc>
          <w:tcPr>
            <w:tcW w:w="1205" w:type="dxa"/>
            <w:tcBorders>
              <w:top w:val="single" w:color="000000" w:sz="2" w:space="0"/>
              <w:left w:val="single" w:color="auto" w:sz="4" w:space="0"/>
              <w:bottom w:val="single" w:color="000000" w:sz="2" w:space="0"/>
              <w:right w:val="single" w:color="000000" w:sz="2" w:space="0"/>
            </w:tcBorders>
            <w:noWrap w:val="0"/>
            <w:vAlign w:val="center"/>
          </w:tcPr>
          <w:p w14:paraId="3EBE26AD">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姓名</w:t>
            </w:r>
          </w:p>
        </w:tc>
        <w:tc>
          <w:tcPr>
            <w:tcW w:w="906" w:type="dxa"/>
            <w:tcBorders>
              <w:top w:val="single" w:color="000000" w:sz="2" w:space="0"/>
              <w:left w:val="single" w:color="auto" w:sz="4" w:space="0"/>
              <w:bottom w:val="single" w:color="000000" w:sz="2" w:space="0"/>
              <w:right w:val="single" w:color="auto" w:sz="4" w:space="0"/>
            </w:tcBorders>
            <w:noWrap w:val="0"/>
            <w:vAlign w:val="center"/>
          </w:tcPr>
          <w:p w14:paraId="7D0E3A9C">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性别</w:t>
            </w:r>
          </w:p>
        </w:tc>
        <w:tc>
          <w:tcPr>
            <w:tcW w:w="713" w:type="dxa"/>
            <w:tcBorders>
              <w:top w:val="single" w:color="000000" w:sz="2" w:space="0"/>
              <w:left w:val="single" w:color="auto" w:sz="4" w:space="0"/>
              <w:bottom w:val="single" w:color="000000" w:sz="2" w:space="0"/>
              <w:right w:val="single" w:color="auto" w:sz="4" w:space="0"/>
            </w:tcBorders>
            <w:noWrap w:val="0"/>
            <w:vAlign w:val="center"/>
          </w:tcPr>
          <w:p w14:paraId="17ECF079">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年龄</w:t>
            </w:r>
          </w:p>
        </w:tc>
        <w:tc>
          <w:tcPr>
            <w:tcW w:w="966" w:type="dxa"/>
            <w:tcBorders>
              <w:top w:val="single" w:color="000000" w:sz="2" w:space="0"/>
              <w:left w:val="single" w:color="auto" w:sz="4" w:space="0"/>
              <w:bottom w:val="single" w:color="000000" w:sz="2" w:space="0"/>
              <w:right w:val="single" w:color="auto" w:sz="4" w:space="0"/>
            </w:tcBorders>
            <w:noWrap w:val="0"/>
            <w:vAlign w:val="center"/>
          </w:tcPr>
          <w:p w14:paraId="4B2D71EC">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学历</w:t>
            </w:r>
          </w:p>
        </w:tc>
        <w:tc>
          <w:tcPr>
            <w:tcW w:w="2409" w:type="dxa"/>
            <w:tcBorders>
              <w:top w:val="single" w:color="000000" w:sz="2" w:space="0"/>
              <w:left w:val="single" w:color="auto" w:sz="4" w:space="0"/>
              <w:bottom w:val="single" w:color="000000" w:sz="2" w:space="0"/>
              <w:right w:val="single" w:color="000000" w:sz="2" w:space="0"/>
            </w:tcBorders>
            <w:noWrap w:val="0"/>
            <w:vAlign w:val="center"/>
          </w:tcPr>
          <w:p w14:paraId="6646CBC1">
            <w:pPr>
              <w:ind w:firstLine="482"/>
              <w:jc w:val="cente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身份证号码</w:t>
            </w:r>
          </w:p>
        </w:tc>
        <w:tc>
          <w:tcPr>
            <w:tcW w:w="1890" w:type="dxa"/>
            <w:tcBorders>
              <w:top w:val="single" w:color="000000" w:sz="2" w:space="0"/>
              <w:left w:val="single" w:color="auto" w:sz="4" w:space="0"/>
              <w:bottom w:val="single" w:color="000000" w:sz="2" w:space="0"/>
              <w:right w:val="single" w:color="000000" w:sz="2" w:space="0"/>
            </w:tcBorders>
            <w:noWrap w:val="0"/>
            <w:vAlign w:val="center"/>
          </w:tcPr>
          <w:p w14:paraId="5DA61C5B">
            <w:pPr>
              <w:ind w:firstLine="482"/>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  注</w:t>
            </w:r>
          </w:p>
        </w:tc>
      </w:tr>
      <w:tr w14:paraId="5E3D8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5B7A16AA">
            <w:pPr>
              <w:ind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36A8BCBD">
            <w:pPr>
              <w:jc w:val="center"/>
              <w:rPr>
                <w:rFonts w:hint="eastAsia" w:ascii="宋体" w:hAnsi="宋体" w:eastAsia="宋体" w:cs="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2C57176B">
            <w:pPr>
              <w:ind w:firstLine="480"/>
              <w:jc w:val="center"/>
              <w:rPr>
                <w:rFonts w:hint="eastAsia" w:ascii="宋体" w:hAnsi="宋体" w:eastAsia="宋体" w:cs="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539C4896">
            <w:pPr>
              <w:ind w:firstLine="480"/>
              <w:jc w:val="center"/>
              <w:rPr>
                <w:rFonts w:hint="eastAsia" w:ascii="宋体" w:hAnsi="宋体" w:eastAsia="宋体" w:cs="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5E218D43">
            <w:pPr>
              <w:ind w:firstLine="480"/>
              <w:jc w:val="center"/>
              <w:rPr>
                <w:rFonts w:hint="eastAsia" w:ascii="宋体" w:hAnsi="宋体" w:eastAsia="宋体" w:cs="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6F698867">
            <w:pPr>
              <w:ind w:firstLine="480"/>
              <w:jc w:val="center"/>
              <w:rPr>
                <w:rFonts w:hint="eastAsia" w:ascii="宋体" w:hAnsi="宋体" w:eastAsia="宋体" w:cs="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5E374EBD">
            <w:pPr>
              <w:ind w:firstLine="480"/>
              <w:jc w:val="center"/>
              <w:rPr>
                <w:rFonts w:hint="eastAsia" w:ascii="宋体" w:hAnsi="宋体" w:eastAsia="宋体" w:cs="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5D1971AF">
            <w:pPr>
              <w:ind w:firstLine="480"/>
              <w:jc w:val="center"/>
              <w:rPr>
                <w:rFonts w:hint="eastAsia" w:ascii="宋体" w:hAnsi="宋体" w:eastAsia="宋体" w:cs="宋体"/>
                <w:color w:val="auto"/>
                <w:sz w:val="24"/>
                <w:highlight w:val="none"/>
              </w:rPr>
            </w:pPr>
          </w:p>
        </w:tc>
      </w:tr>
      <w:tr w14:paraId="7D964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57B99CF3">
            <w:pPr>
              <w:ind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0198C268">
            <w:pPr>
              <w:jc w:val="center"/>
              <w:rPr>
                <w:rFonts w:hint="eastAsia" w:ascii="宋体" w:hAnsi="宋体" w:eastAsia="宋体" w:cs="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0D9885D0">
            <w:pPr>
              <w:ind w:firstLine="480"/>
              <w:jc w:val="center"/>
              <w:rPr>
                <w:rFonts w:hint="eastAsia" w:ascii="宋体" w:hAnsi="宋体" w:eastAsia="宋体" w:cs="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7E7076B6">
            <w:pPr>
              <w:ind w:firstLine="480"/>
              <w:jc w:val="center"/>
              <w:rPr>
                <w:rFonts w:hint="eastAsia" w:ascii="宋体" w:hAnsi="宋体" w:eastAsia="宋体" w:cs="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33F0E621">
            <w:pPr>
              <w:ind w:firstLine="480"/>
              <w:jc w:val="center"/>
              <w:rPr>
                <w:rFonts w:hint="eastAsia" w:ascii="宋体" w:hAnsi="宋体" w:eastAsia="宋体" w:cs="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0A6BA4FC">
            <w:pPr>
              <w:ind w:firstLine="480"/>
              <w:jc w:val="center"/>
              <w:rPr>
                <w:rFonts w:hint="eastAsia" w:ascii="宋体" w:hAnsi="宋体" w:eastAsia="宋体" w:cs="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6E6E3C26">
            <w:pPr>
              <w:ind w:firstLine="480"/>
              <w:jc w:val="center"/>
              <w:rPr>
                <w:rFonts w:hint="eastAsia" w:ascii="宋体" w:hAnsi="宋体" w:eastAsia="宋体" w:cs="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637BD08B">
            <w:pPr>
              <w:ind w:firstLine="480"/>
              <w:jc w:val="center"/>
              <w:rPr>
                <w:rFonts w:hint="eastAsia" w:ascii="宋体" w:hAnsi="宋体" w:eastAsia="宋体" w:cs="宋体"/>
                <w:color w:val="auto"/>
                <w:sz w:val="24"/>
                <w:highlight w:val="none"/>
              </w:rPr>
            </w:pPr>
          </w:p>
        </w:tc>
      </w:tr>
      <w:tr w14:paraId="4F69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7CDE2A07">
            <w:pPr>
              <w:ind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18EBF825">
            <w:pPr>
              <w:jc w:val="center"/>
              <w:rPr>
                <w:rFonts w:hint="eastAsia" w:ascii="宋体" w:hAnsi="宋体" w:eastAsia="宋体" w:cs="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0E7A4C87">
            <w:pPr>
              <w:ind w:firstLine="480"/>
              <w:jc w:val="center"/>
              <w:rPr>
                <w:rFonts w:hint="eastAsia" w:ascii="宋体" w:hAnsi="宋体" w:eastAsia="宋体" w:cs="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5F1D4E47">
            <w:pPr>
              <w:ind w:firstLine="480"/>
              <w:jc w:val="center"/>
              <w:rPr>
                <w:rFonts w:hint="eastAsia" w:ascii="宋体" w:hAnsi="宋体" w:eastAsia="宋体" w:cs="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36105533">
            <w:pPr>
              <w:ind w:firstLine="480"/>
              <w:jc w:val="center"/>
              <w:rPr>
                <w:rFonts w:hint="eastAsia" w:ascii="宋体" w:hAnsi="宋体" w:eastAsia="宋体" w:cs="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23DD7140">
            <w:pPr>
              <w:ind w:firstLine="480"/>
              <w:jc w:val="center"/>
              <w:rPr>
                <w:rFonts w:hint="eastAsia" w:ascii="宋体" w:hAnsi="宋体" w:eastAsia="宋体" w:cs="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793D1F5A">
            <w:pPr>
              <w:ind w:firstLine="480"/>
              <w:jc w:val="center"/>
              <w:rPr>
                <w:rFonts w:hint="eastAsia" w:ascii="宋体" w:hAnsi="宋体" w:eastAsia="宋体" w:cs="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2F3466BF">
            <w:pPr>
              <w:ind w:firstLine="480"/>
              <w:jc w:val="center"/>
              <w:rPr>
                <w:rFonts w:hint="eastAsia" w:ascii="宋体" w:hAnsi="宋体" w:eastAsia="宋体" w:cs="宋体"/>
                <w:color w:val="auto"/>
                <w:sz w:val="24"/>
                <w:highlight w:val="none"/>
              </w:rPr>
            </w:pPr>
          </w:p>
        </w:tc>
      </w:tr>
      <w:tr w14:paraId="46FD9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5D7EBE1">
            <w:pPr>
              <w:ind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23B3E19B">
            <w:pPr>
              <w:ind w:firstLine="480"/>
              <w:rPr>
                <w:rFonts w:hint="eastAsia" w:ascii="宋体" w:hAnsi="宋体" w:eastAsia="宋体" w:cs="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5F707125">
            <w:pPr>
              <w:ind w:firstLine="480"/>
              <w:jc w:val="center"/>
              <w:rPr>
                <w:rFonts w:hint="eastAsia" w:ascii="宋体" w:hAnsi="宋体" w:eastAsia="宋体" w:cs="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6617EBED">
            <w:pPr>
              <w:ind w:firstLine="480"/>
              <w:jc w:val="center"/>
              <w:rPr>
                <w:rFonts w:hint="eastAsia" w:ascii="宋体" w:hAnsi="宋体" w:eastAsia="宋体" w:cs="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5E846EE8">
            <w:pPr>
              <w:ind w:firstLine="480"/>
              <w:jc w:val="center"/>
              <w:rPr>
                <w:rFonts w:hint="eastAsia" w:ascii="宋体" w:hAnsi="宋体" w:eastAsia="宋体" w:cs="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3842DE40">
            <w:pPr>
              <w:ind w:firstLine="480"/>
              <w:jc w:val="center"/>
              <w:rPr>
                <w:rFonts w:hint="eastAsia" w:ascii="宋体" w:hAnsi="宋体" w:eastAsia="宋体" w:cs="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43F690DF">
            <w:pPr>
              <w:ind w:firstLine="480"/>
              <w:jc w:val="center"/>
              <w:rPr>
                <w:rFonts w:hint="eastAsia" w:ascii="宋体" w:hAnsi="宋体" w:eastAsia="宋体" w:cs="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28B58C48">
            <w:pPr>
              <w:ind w:firstLine="480"/>
              <w:jc w:val="center"/>
              <w:rPr>
                <w:rFonts w:hint="eastAsia" w:ascii="宋体" w:hAnsi="宋体" w:eastAsia="宋体" w:cs="宋体"/>
                <w:color w:val="auto"/>
                <w:sz w:val="24"/>
                <w:highlight w:val="none"/>
              </w:rPr>
            </w:pPr>
          </w:p>
        </w:tc>
      </w:tr>
      <w:tr w14:paraId="0B5C0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245EF81">
            <w:pPr>
              <w:ind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0E5562C4">
            <w:pPr>
              <w:ind w:firstLine="480"/>
              <w:jc w:val="center"/>
              <w:rPr>
                <w:rFonts w:hint="eastAsia" w:ascii="宋体" w:hAnsi="宋体" w:eastAsia="宋体" w:cs="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3138E824">
            <w:pPr>
              <w:ind w:firstLine="480"/>
              <w:jc w:val="center"/>
              <w:rPr>
                <w:rFonts w:hint="eastAsia" w:ascii="宋体" w:hAnsi="宋体" w:eastAsia="宋体" w:cs="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18020AA4">
            <w:pPr>
              <w:ind w:firstLine="480"/>
              <w:jc w:val="center"/>
              <w:rPr>
                <w:rFonts w:hint="eastAsia" w:ascii="宋体" w:hAnsi="宋体" w:eastAsia="宋体" w:cs="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520F2EA4">
            <w:pPr>
              <w:ind w:firstLine="480"/>
              <w:jc w:val="center"/>
              <w:rPr>
                <w:rFonts w:hint="eastAsia" w:ascii="宋体" w:hAnsi="宋体" w:eastAsia="宋体" w:cs="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19A56D6B">
            <w:pPr>
              <w:ind w:firstLine="480"/>
              <w:jc w:val="center"/>
              <w:rPr>
                <w:rFonts w:hint="eastAsia" w:ascii="宋体" w:hAnsi="宋体" w:eastAsia="宋体" w:cs="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794B67E4">
            <w:pPr>
              <w:ind w:firstLine="480"/>
              <w:jc w:val="center"/>
              <w:rPr>
                <w:rFonts w:hint="eastAsia" w:ascii="宋体" w:hAnsi="宋体" w:eastAsia="宋体" w:cs="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69D800AD">
            <w:pPr>
              <w:ind w:firstLine="480"/>
              <w:jc w:val="center"/>
              <w:rPr>
                <w:rFonts w:hint="eastAsia" w:ascii="宋体" w:hAnsi="宋体" w:eastAsia="宋体" w:cs="宋体"/>
                <w:color w:val="auto"/>
                <w:sz w:val="24"/>
                <w:highlight w:val="none"/>
              </w:rPr>
            </w:pPr>
          </w:p>
        </w:tc>
      </w:tr>
      <w:tr w14:paraId="3AECD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6F43743F">
            <w:pPr>
              <w:ind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0DCFC0C2">
            <w:pPr>
              <w:ind w:firstLine="480"/>
              <w:jc w:val="center"/>
              <w:rPr>
                <w:rFonts w:hint="eastAsia" w:ascii="宋体" w:hAnsi="宋体" w:eastAsia="宋体" w:cs="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6C264EBE">
            <w:pPr>
              <w:ind w:firstLine="480"/>
              <w:jc w:val="center"/>
              <w:rPr>
                <w:rFonts w:hint="eastAsia" w:ascii="宋体" w:hAnsi="宋体" w:eastAsia="宋体" w:cs="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5193E9D7">
            <w:pPr>
              <w:ind w:firstLine="480"/>
              <w:jc w:val="center"/>
              <w:rPr>
                <w:rFonts w:hint="eastAsia" w:ascii="宋体" w:hAnsi="宋体" w:eastAsia="宋体" w:cs="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393D0601">
            <w:pPr>
              <w:ind w:firstLine="480"/>
              <w:jc w:val="center"/>
              <w:rPr>
                <w:rFonts w:hint="eastAsia" w:ascii="宋体" w:hAnsi="宋体" w:eastAsia="宋体" w:cs="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55AA2043">
            <w:pPr>
              <w:ind w:firstLine="480"/>
              <w:jc w:val="center"/>
              <w:rPr>
                <w:rFonts w:hint="eastAsia" w:ascii="宋体" w:hAnsi="宋体" w:eastAsia="宋体" w:cs="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04166EE4">
            <w:pPr>
              <w:ind w:firstLine="480"/>
              <w:jc w:val="center"/>
              <w:rPr>
                <w:rFonts w:hint="eastAsia" w:ascii="宋体" w:hAnsi="宋体" w:eastAsia="宋体" w:cs="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3E8034CA">
            <w:pPr>
              <w:ind w:firstLine="480"/>
              <w:jc w:val="center"/>
              <w:rPr>
                <w:rFonts w:hint="eastAsia" w:ascii="宋体" w:hAnsi="宋体" w:eastAsia="宋体" w:cs="宋体"/>
                <w:color w:val="auto"/>
                <w:sz w:val="24"/>
                <w:highlight w:val="none"/>
              </w:rPr>
            </w:pPr>
          </w:p>
        </w:tc>
      </w:tr>
      <w:tr w14:paraId="4A622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39A18DD2">
            <w:pPr>
              <w:ind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3D1CBC17">
            <w:pPr>
              <w:ind w:firstLine="480"/>
              <w:jc w:val="center"/>
              <w:rPr>
                <w:rFonts w:hint="eastAsia" w:ascii="宋体" w:hAnsi="宋体" w:eastAsia="宋体" w:cs="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5A3EE248">
            <w:pPr>
              <w:ind w:firstLine="480"/>
              <w:jc w:val="center"/>
              <w:rPr>
                <w:rFonts w:hint="eastAsia" w:ascii="宋体" w:hAnsi="宋体" w:eastAsia="宋体" w:cs="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414866C2">
            <w:pPr>
              <w:ind w:firstLine="480"/>
              <w:jc w:val="center"/>
              <w:rPr>
                <w:rFonts w:hint="eastAsia" w:ascii="宋体" w:hAnsi="宋体" w:eastAsia="宋体" w:cs="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62825768">
            <w:pPr>
              <w:ind w:firstLine="480"/>
              <w:jc w:val="center"/>
              <w:rPr>
                <w:rFonts w:hint="eastAsia" w:ascii="宋体" w:hAnsi="宋体" w:eastAsia="宋体" w:cs="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47016E8B">
            <w:pPr>
              <w:ind w:firstLine="480"/>
              <w:jc w:val="center"/>
              <w:rPr>
                <w:rFonts w:hint="eastAsia" w:ascii="宋体" w:hAnsi="宋体" w:eastAsia="宋体" w:cs="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7B6A1A19">
            <w:pPr>
              <w:ind w:firstLine="480"/>
              <w:jc w:val="center"/>
              <w:rPr>
                <w:rFonts w:hint="eastAsia" w:ascii="宋体" w:hAnsi="宋体" w:eastAsia="宋体" w:cs="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3D09D54F">
            <w:pPr>
              <w:ind w:firstLine="480"/>
              <w:jc w:val="center"/>
              <w:rPr>
                <w:rFonts w:hint="eastAsia" w:ascii="宋体" w:hAnsi="宋体" w:eastAsia="宋体" w:cs="宋体"/>
                <w:color w:val="auto"/>
                <w:sz w:val="24"/>
                <w:highlight w:val="none"/>
              </w:rPr>
            </w:pPr>
          </w:p>
        </w:tc>
      </w:tr>
    </w:tbl>
    <w:p w14:paraId="72808E0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注：1.根据招标文件及评分标准相关要求填写，并提供相关的证明材料；</w:t>
      </w:r>
    </w:p>
    <w:p w14:paraId="1E59A51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2.表格不够填写可添加；</w:t>
      </w:r>
    </w:p>
    <w:p w14:paraId="48E473A8">
      <w:pPr>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3.以上人员工资、社保须根据劳动法和</w:t>
      </w:r>
      <w:r>
        <w:rPr>
          <w:rFonts w:hint="eastAsia" w:ascii="宋体" w:hAnsi="宋体" w:eastAsia="宋体" w:cs="宋体"/>
          <w:color w:val="auto"/>
          <w:sz w:val="24"/>
          <w:highlight w:val="none"/>
          <w:lang w:val="en-US" w:eastAsia="zh-CN"/>
        </w:rPr>
        <w:t>盐城市</w:t>
      </w:r>
      <w:r>
        <w:rPr>
          <w:rFonts w:hint="eastAsia" w:ascii="宋体" w:hAnsi="宋体" w:eastAsia="宋体" w:cs="宋体"/>
          <w:color w:val="auto"/>
          <w:sz w:val="24"/>
          <w:highlight w:val="none"/>
        </w:rPr>
        <w:t>相关要求缴纳；</w:t>
      </w:r>
    </w:p>
    <w:p w14:paraId="0A3374F8">
      <w:pPr>
        <w:spacing w:before="100" w:beforeAutospacing="1" w:after="100" w:afterAutospacing="1" w:line="460" w:lineRule="exact"/>
        <w:ind w:firstLine="480"/>
        <w:jc w:val="right"/>
        <w:rPr>
          <w:rFonts w:hint="eastAsia" w:ascii="宋体" w:hAnsi="宋体" w:eastAsia="宋体" w:cs="宋体"/>
          <w:color w:val="auto"/>
          <w:sz w:val="24"/>
          <w:highlight w:val="none"/>
        </w:rPr>
        <w:sectPr>
          <w:pgSz w:w="11906" w:h="16838"/>
          <w:pgMar w:top="1440" w:right="1587" w:bottom="1440" w:left="1587" w:header="851" w:footer="907" w:gutter="0"/>
          <w:pgNumType w:fmt="decimal"/>
          <w:cols w:space="720" w:num="1"/>
          <w:docGrid w:linePitch="360" w:charSpace="0"/>
        </w:sectPr>
      </w:pPr>
    </w:p>
    <w:p w14:paraId="2CA11CB7">
      <w:pPr>
        <w:pStyle w:val="15"/>
        <w:spacing w:beforeAutospacing="0" w:afterAutospacing="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（十</w:t>
      </w:r>
      <w:r>
        <w:rPr>
          <w:rFonts w:hint="eastAsia" w:ascii="宋体" w:hAnsi="宋体" w:eastAsia="宋体" w:cs="宋体"/>
          <w:b/>
          <w:color w:val="auto"/>
          <w:sz w:val="32"/>
          <w:szCs w:val="32"/>
          <w:highlight w:val="none"/>
          <w:lang w:val="en-US" w:eastAsia="zh-CN"/>
        </w:rPr>
        <w:t>五</w:t>
      </w:r>
      <w:r>
        <w:rPr>
          <w:rFonts w:hint="eastAsia" w:ascii="宋体" w:hAnsi="宋体" w:eastAsia="宋体" w:cs="宋体"/>
          <w:b/>
          <w:color w:val="auto"/>
          <w:sz w:val="32"/>
          <w:szCs w:val="32"/>
          <w:highlight w:val="none"/>
        </w:rPr>
        <w:t>）开标一览表</w:t>
      </w:r>
    </w:p>
    <w:p w14:paraId="3BD7656F">
      <w:pPr>
        <w:spacing w:line="480" w:lineRule="exact"/>
        <w:jc w:val="left"/>
        <w:rPr>
          <w:rFonts w:hint="eastAsia" w:ascii="宋体" w:hAnsi="宋体" w:eastAsia="宋体" w:cs="宋体"/>
          <w:color w:val="auto"/>
          <w:sz w:val="27"/>
          <w:szCs w:val="27"/>
          <w:highlight w:val="none"/>
        </w:rPr>
      </w:pPr>
    </w:p>
    <w:p w14:paraId="515B1BB4">
      <w:pPr>
        <w:spacing w:line="480" w:lineRule="exact"/>
        <w:ind w:firstLine="420"/>
        <w:jc w:val="left"/>
        <w:rPr>
          <w:rFonts w:hint="eastAsia" w:ascii="宋体" w:hAnsi="宋体" w:eastAsia="宋体" w:cs="宋体"/>
          <w:color w:val="auto"/>
          <w:sz w:val="27"/>
          <w:szCs w:val="27"/>
          <w:highlight w:val="none"/>
          <w:lang w:val="en-US" w:eastAsia="zh-CN"/>
        </w:rPr>
      </w:pPr>
      <w:r>
        <w:rPr>
          <w:rFonts w:hint="eastAsia" w:ascii="宋体" w:hAnsi="宋体" w:eastAsia="宋体" w:cs="宋体"/>
          <w:color w:val="auto"/>
          <w:sz w:val="27"/>
          <w:szCs w:val="27"/>
          <w:highlight w:val="none"/>
        </w:rPr>
        <w:t>项目编号：</w:t>
      </w:r>
      <w:r>
        <w:rPr>
          <w:rFonts w:hint="eastAsia" w:ascii="宋体" w:hAnsi="宋体" w:eastAsia="宋体" w:cs="宋体"/>
          <w:color w:val="auto"/>
          <w:sz w:val="27"/>
          <w:szCs w:val="27"/>
          <w:highlight w:val="none"/>
          <w:lang w:val="en-US" w:eastAsia="zh-CN"/>
        </w:rPr>
        <w:t xml:space="preserve"> </w:t>
      </w:r>
    </w:p>
    <w:p w14:paraId="2F42B410">
      <w:pPr>
        <w:widowControl/>
        <w:spacing w:before="100" w:beforeAutospacing="1" w:after="100" w:afterAutospacing="1"/>
        <w:ind w:firstLine="420"/>
        <w:jc w:val="left"/>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货币单位：元</w:t>
      </w:r>
    </w:p>
    <w:tbl>
      <w:tblPr>
        <w:tblStyle w:val="18"/>
        <w:tblW w:w="89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38"/>
        <w:gridCol w:w="3158"/>
        <w:gridCol w:w="1925"/>
        <w:gridCol w:w="1925"/>
      </w:tblGrid>
      <w:tr w14:paraId="4FB53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938" w:type="dxa"/>
            <w:vAlign w:val="center"/>
          </w:tcPr>
          <w:p w14:paraId="2D02A454">
            <w:pPr>
              <w:widowControl/>
              <w:spacing w:before="100" w:beforeAutospacing="1" w:after="100" w:afterAutospacing="1"/>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标段</w:t>
            </w:r>
            <w:r>
              <w:rPr>
                <w:rFonts w:hint="eastAsia" w:ascii="宋体" w:hAnsi="宋体" w:eastAsia="宋体" w:cs="宋体"/>
                <w:color w:val="auto"/>
                <w:sz w:val="24"/>
                <w:highlight w:val="none"/>
                <w:lang w:eastAsia="zh-CN"/>
              </w:rPr>
              <w:t>）</w:t>
            </w:r>
          </w:p>
        </w:tc>
        <w:tc>
          <w:tcPr>
            <w:tcW w:w="3158" w:type="dxa"/>
            <w:vAlign w:val="center"/>
          </w:tcPr>
          <w:p w14:paraId="5966EE2D">
            <w:pPr>
              <w:widowControl/>
              <w:spacing w:before="100" w:beforeAutospacing="1" w:after="100" w:afterAutospacing="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项目内容</w:t>
            </w:r>
          </w:p>
        </w:tc>
        <w:tc>
          <w:tcPr>
            <w:tcW w:w="1925" w:type="dxa"/>
            <w:vAlign w:val="center"/>
          </w:tcPr>
          <w:p w14:paraId="6FE6BC5D">
            <w:pPr>
              <w:pStyle w:val="8"/>
              <w:rPr>
                <w:rFonts w:hint="eastAsia" w:ascii="宋体" w:hAnsi="宋体" w:eastAsia="宋体" w:cs="宋体"/>
                <w:color w:val="auto"/>
                <w:highlight w:val="none"/>
              </w:rPr>
            </w:pPr>
            <w:r>
              <w:rPr>
                <w:rFonts w:hint="eastAsia" w:ascii="宋体" w:hAnsi="宋体" w:eastAsia="宋体" w:cs="宋体"/>
                <w:color w:val="auto"/>
                <w:kern w:val="2"/>
                <w:sz w:val="24"/>
                <w:szCs w:val="24"/>
                <w:highlight w:val="none"/>
                <w:lang w:val="en-US" w:eastAsia="zh-CN" w:bidi="ar-SA"/>
              </w:rPr>
              <w:t>投标单价（元/亩）</w:t>
            </w:r>
          </w:p>
        </w:tc>
        <w:tc>
          <w:tcPr>
            <w:tcW w:w="1925" w:type="dxa"/>
            <w:vAlign w:val="center"/>
          </w:tcPr>
          <w:p w14:paraId="23E2A01A">
            <w:pPr>
              <w:widowControl/>
              <w:spacing w:before="100" w:beforeAutospacing="1" w:after="100" w:afterAutospacing="1"/>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投标总价</w:t>
            </w:r>
            <w:r>
              <w:rPr>
                <w:rFonts w:hint="eastAsia" w:ascii="宋体" w:hAnsi="宋体" w:eastAsia="宋体" w:cs="宋体"/>
                <w:color w:val="auto"/>
                <w:sz w:val="24"/>
                <w:highlight w:val="none"/>
              </w:rPr>
              <w:t>（元）</w:t>
            </w:r>
          </w:p>
        </w:tc>
      </w:tr>
      <w:tr w14:paraId="45E68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7" w:hRule="atLeast"/>
          <w:jc w:val="center"/>
        </w:trPr>
        <w:tc>
          <w:tcPr>
            <w:tcW w:w="1938" w:type="dxa"/>
            <w:vAlign w:val="center"/>
          </w:tcPr>
          <w:p w14:paraId="1B5BAD5C">
            <w:pPr>
              <w:widowControl/>
              <w:spacing w:before="100" w:beforeAutospacing="1" w:after="100" w:afterAutospacing="1"/>
              <w:jc w:val="center"/>
              <w:rPr>
                <w:rFonts w:hint="eastAsia" w:ascii="宋体" w:hAnsi="宋体" w:eastAsia="宋体" w:cs="宋体"/>
                <w:color w:val="auto"/>
                <w:sz w:val="24"/>
                <w:highlight w:val="none"/>
              </w:rPr>
            </w:pPr>
          </w:p>
        </w:tc>
        <w:tc>
          <w:tcPr>
            <w:tcW w:w="3158" w:type="dxa"/>
            <w:vAlign w:val="center"/>
          </w:tcPr>
          <w:p w14:paraId="271674C5">
            <w:pPr>
              <w:widowControl/>
              <w:spacing w:before="100" w:beforeAutospacing="1" w:after="100" w:afterAutospacing="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详见投标文件</w:t>
            </w:r>
          </w:p>
        </w:tc>
        <w:tc>
          <w:tcPr>
            <w:tcW w:w="1925" w:type="dxa"/>
            <w:vAlign w:val="center"/>
          </w:tcPr>
          <w:p w14:paraId="238A74F2">
            <w:pPr>
              <w:widowControl/>
              <w:spacing w:before="100" w:beforeAutospacing="1" w:after="100" w:afterAutospacing="1"/>
              <w:ind w:right="240"/>
              <w:jc w:val="right"/>
              <w:rPr>
                <w:rFonts w:hint="eastAsia" w:ascii="宋体" w:hAnsi="宋体" w:eastAsia="宋体" w:cs="宋体"/>
                <w:color w:val="auto"/>
                <w:sz w:val="24"/>
                <w:highlight w:val="none"/>
              </w:rPr>
            </w:pPr>
          </w:p>
        </w:tc>
        <w:tc>
          <w:tcPr>
            <w:tcW w:w="1925" w:type="dxa"/>
            <w:vAlign w:val="center"/>
          </w:tcPr>
          <w:p w14:paraId="3B7B1F23">
            <w:pPr>
              <w:widowControl/>
              <w:spacing w:before="100" w:beforeAutospacing="1" w:after="100" w:afterAutospacing="1"/>
              <w:ind w:right="240"/>
              <w:jc w:val="right"/>
              <w:rPr>
                <w:rFonts w:hint="eastAsia" w:ascii="宋体" w:hAnsi="宋体" w:eastAsia="宋体" w:cs="宋体"/>
                <w:color w:val="auto"/>
                <w:sz w:val="24"/>
                <w:highlight w:val="none"/>
              </w:rPr>
            </w:pPr>
          </w:p>
        </w:tc>
      </w:tr>
      <w:tr w14:paraId="2F58D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jc w:val="center"/>
        </w:trPr>
        <w:tc>
          <w:tcPr>
            <w:tcW w:w="7021" w:type="dxa"/>
            <w:gridSpan w:val="3"/>
            <w:vAlign w:val="center"/>
          </w:tcPr>
          <w:p w14:paraId="701BACA1">
            <w:pPr>
              <w:widowControl/>
              <w:spacing w:before="100" w:beforeAutospacing="1" w:after="100" w:afterAutospacing="1"/>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单价</w:t>
            </w:r>
            <w:r>
              <w:rPr>
                <w:rFonts w:hint="eastAsia" w:ascii="宋体" w:hAnsi="宋体" w:eastAsia="宋体" w:cs="宋体"/>
                <w:color w:val="auto"/>
                <w:sz w:val="24"/>
                <w:highlight w:val="none"/>
              </w:rPr>
              <w:t>大写：</w:t>
            </w:r>
          </w:p>
        </w:tc>
        <w:tc>
          <w:tcPr>
            <w:tcW w:w="1925" w:type="dxa"/>
            <w:vAlign w:val="center"/>
          </w:tcPr>
          <w:p w14:paraId="3D40A1FB">
            <w:pPr>
              <w:widowControl/>
              <w:spacing w:before="100" w:beforeAutospacing="1" w:after="100" w:afterAutospacing="1"/>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总价大写：</w:t>
            </w:r>
          </w:p>
        </w:tc>
      </w:tr>
    </w:tbl>
    <w:p w14:paraId="41061077">
      <w:pPr>
        <w:widowControl/>
        <w:spacing w:before="100" w:beforeAutospacing="1" w:after="100" w:afterAutospacing="1"/>
        <w:jc w:val="left"/>
        <w:rPr>
          <w:rFonts w:hint="eastAsia" w:ascii="宋体" w:hAnsi="宋体" w:eastAsia="宋体" w:cs="宋体"/>
          <w:color w:val="auto"/>
          <w:sz w:val="27"/>
          <w:szCs w:val="27"/>
          <w:highlight w:val="none"/>
        </w:rPr>
      </w:pPr>
    </w:p>
    <w:p w14:paraId="20B26B4A">
      <w:pPr>
        <w:widowControl/>
        <w:spacing w:before="100" w:beforeAutospacing="1" w:after="100" w:afterAutospacing="1"/>
        <w:ind w:left="840" w:firstLine="420"/>
        <w:jc w:val="left"/>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投标人公章：</w:t>
      </w:r>
    </w:p>
    <w:p w14:paraId="77CAC95A">
      <w:pPr>
        <w:widowControl/>
        <w:spacing w:before="100" w:beforeAutospacing="1" w:after="100" w:afterAutospacing="1"/>
        <w:ind w:left="840" w:firstLine="420"/>
        <w:jc w:val="left"/>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（电子签章）</w:t>
      </w:r>
    </w:p>
    <w:p w14:paraId="399B68DF">
      <w:pPr>
        <w:spacing w:before="50" w:after="50"/>
        <w:jc w:val="center"/>
        <w:rPr>
          <w:rFonts w:hint="eastAsia" w:ascii="宋体" w:hAnsi="宋体" w:eastAsia="宋体" w:cs="宋体"/>
          <w:b/>
          <w:color w:val="auto"/>
          <w:sz w:val="36"/>
          <w:szCs w:val="36"/>
          <w:highlight w:val="none"/>
        </w:rPr>
        <w:sectPr>
          <w:pgSz w:w="11906" w:h="16838"/>
          <w:pgMar w:top="1440" w:right="1587" w:bottom="1440" w:left="1587" w:header="851" w:footer="907" w:gutter="0"/>
          <w:pgNumType w:fmt="decimal"/>
          <w:cols w:space="720" w:num="1"/>
          <w:docGrid w:linePitch="360" w:charSpace="0"/>
        </w:sectPr>
      </w:pPr>
    </w:p>
    <w:p w14:paraId="1A131180">
      <w:pPr>
        <w:spacing w:before="50" w:after="5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（十</w:t>
      </w:r>
      <w:r>
        <w:rPr>
          <w:rFonts w:hint="eastAsia" w:ascii="宋体" w:hAnsi="宋体" w:eastAsia="宋体" w:cs="宋体"/>
          <w:b/>
          <w:color w:val="auto"/>
          <w:sz w:val="36"/>
          <w:szCs w:val="36"/>
          <w:highlight w:val="none"/>
          <w:lang w:val="en-US" w:eastAsia="zh-CN"/>
        </w:rPr>
        <w:t>六</w:t>
      </w:r>
      <w:r>
        <w:rPr>
          <w:rFonts w:hint="eastAsia" w:ascii="宋体" w:hAnsi="宋体" w:eastAsia="宋体" w:cs="宋体"/>
          <w:b/>
          <w:color w:val="auto"/>
          <w:sz w:val="36"/>
          <w:szCs w:val="36"/>
          <w:highlight w:val="none"/>
        </w:rPr>
        <w:t>）技术方案、服务承诺、培训承诺等</w:t>
      </w:r>
    </w:p>
    <w:p w14:paraId="689310D9">
      <w:pPr>
        <w:pStyle w:val="15"/>
        <w:spacing w:beforeAutospacing="0" w:afterAutospacing="0"/>
        <w:jc w:val="center"/>
        <w:rPr>
          <w:rFonts w:hint="eastAsia" w:ascii="宋体" w:hAnsi="宋体" w:eastAsia="宋体" w:cs="宋体"/>
          <w:b/>
          <w:color w:val="auto"/>
          <w:sz w:val="32"/>
          <w:szCs w:val="32"/>
          <w:highlight w:val="none"/>
        </w:rPr>
        <w:sectPr>
          <w:pgSz w:w="11906" w:h="16838"/>
          <w:pgMar w:top="1440" w:right="1587" w:bottom="1440" w:left="1587" w:header="851" w:footer="907" w:gutter="0"/>
          <w:pgNumType w:fmt="decimal"/>
          <w:cols w:space="720" w:num="1"/>
          <w:docGrid w:linePitch="360" w:charSpace="0"/>
        </w:sectPr>
      </w:pPr>
    </w:p>
    <w:p w14:paraId="6CFA3B42">
      <w:pPr>
        <w:spacing w:before="50" w:after="5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（十</w:t>
      </w:r>
      <w:r>
        <w:rPr>
          <w:rFonts w:hint="eastAsia" w:ascii="宋体" w:hAnsi="宋体" w:eastAsia="宋体" w:cs="宋体"/>
          <w:b/>
          <w:color w:val="auto"/>
          <w:sz w:val="36"/>
          <w:szCs w:val="36"/>
          <w:highlight w:val="none"/>
          <w:lang w:val="en-US" w:eastAsia="zh-CN"/>
        </w:rPr>
        <w:t>七</w:t>
      </w:r>
      <w:r>
        <w:rPr>
          <w:rFonts w:hint="eastAsia" w:ascii="宋体" w:hAnsi="宋体" w:eastAsia="宋体" w:cs="宋体"/>
          <w:b/>
          <w:color w:val="auto"/>
          <w:sz w:val="36"/>
          <w:szCs w:val="36"/>
          <w:highlight w:val="none"/>
        </w:rPr>
        <w:t>）盐城市政府采购事前信用承诺书</w:t>
      </w:r>
    </w:p>
    <w:p w14:paraId="56C0386E">
      <w:pPr>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为营造我市公开、公平、公正、诚实守信的政府采购交易环境，树立诚信守法的投标人形象，本人代表本单位作出以下承诺：</w:t>
      </w:r>
    </w:p>
    <w:p w14:paraId="2741ABB4">
      <w:pPr>
        <w:widowControl/>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D64E6C5">
      <w:pPr>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2F5C6E4">
      <w:pPr>
        <w:widowControl/>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（三）严格依照国家和省、市关于政府采购的法律、法规、规章、规范性文件，参加政府采购投标活动；积极履行社会责任，促进廉政建设； </w:t>
      </w:r>
    </w:p>
    <w:p w14:paraId="69DC02ED">
      <w:pPr>
        <w:widowControl/>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（四）严格遵守即时信息公示规定，及时维护和更新维护和更新盐城市政府采购网中与本单位相关的信息；</w:t>
      </w:r>
    </w:p>
    <w:p w14:paraId="38691FBB">
      <w:pPr>
        <w:widowControl/>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五）自我约束、自我管理，守合同、重信用，自觉维护政府采购交易的良好秩序，与参与本次政府采购活动的其他投标人不存在直接控股或管理关系，不参与围标串标、弄虚作假、骗取中标、干扰评标、违约毁约等行为；</w:t>
      </w:r>
    </w:p>
    <w:p w14:paraId="33F31669">
      <w:pPr>
        <w:widowControl/>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（六）自觉接受政府、行业组织、社会公众、新闻舆论的监督；</w:t>
      </w:r>
    </w:p>
    <w:p w14:paraId="0FAF8CF2">
      <w:pPr>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CBEC860">
      <w:pPr>
        <w:widowControl/>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（八）本人已认真阅读了上述承诺，并向本单位员工作了宣传教育。</w:t>
      </w:r>
    </w:p>
    <w:p w14:paraId="1E19E803">
      <w:pPr>
        <w:widowControl/>
        <w:spacing w:line="500" w:lineRule="exact"/>
        <w:jc w:val="left"/>
        <w:rPr>
          <w:rFonts w:hint="eastAsia" w:ascii="宋体" w:hAnsi="宋体" w:eastAsia="宋体" w:cs="宋体"/>
          <w:color w:val="auto"/>
          <w:sz w:val="24"/>
          <w:szCs w:val="24"/>
          <w:highlight w:val="none"/>
        </w:rPr>
      </w:pPr>
    </w:p>
    <w:p w14:paraId="62E68C76">
      <w:pPr>
        <w:widowControl/>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法定代表人签名：</w:t>
      </w:r>
    </w:p>
    <w:p w14:paraId="41A76EBF">
      <w:pPr>
        <w:widowControl/>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p>
    <w:p w14:paraId="4F507418">
      <w:pPr>
        <w:widowControl/>
        <w:spacing w:line="500" w:lineRule="exact"/>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年    月    日</w:t>
      </w:r>
    </w:p>
    <w:p w14:paraId="20FAFAA6">
      <w:pPr>
        <w:pStyle w:val="15"/>
        <w:spacing w:beforeAutospacing="0" w:afterAutospacing="0"/>
        <w:jc w:val="center"/>
        <w:rPr>
          <w:rFonts w:hint="eastAsia" w:ascii="宋体" w:hAnsi="宋体" w:eastAsia="宋体" w:cs="宋体"/>
          <w:b/>
          <w:color w:val="auto"/>
          <w:sz w:val="32"/>
          <w:szCs w:val="32"/>
          <w:highlight w:val="none"/>
        </w:rPr>
      </w:pPr>
    </w:p>
    <w:p w14:paraId="0EE6B013">
      <w:pPr>
        <w:pStyle w:val="15"/>
        <w:spacing w:beforeAutospacing="0" w:afterAutospacing="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lang w:val="en-US" w:eastAsia="zh-CN"/>
        </w:rPr>
        <w:t>十八</w:t>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rPr>
        <w:t>质疑函范本</w:t>
      </w:r>
    </w:p>
    <w:p w14:paraId="1461010F">
      <w:pPr>
        <w:pStyle w:val="15"/>
        <w:spacing w:before="0" w:beforeAutospacing="0" w:after="0" w:afterAutospacing="0" w:line="3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一、质疑供应商基本信息</w:t>
      </w:r>
    </w:p>
    <w:p w14:paraId="49CE4FAC">
      <w:pPr>
        <w:pStyle w:val="15"/>
        <w:spacing w:before="0" w:beforeAutospacing="0" w:after="0" w:afterAutospacing="0" w:line="3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D4C226D">
      <w:pPr>
        <w:pStyle w:val="15"/>
        <w:spacing w:before="0" w:beforeAutospacing="0" w:after="0" w:afterAutospacing="0" w:line="360" w:lineRule="exact"/>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17388514">
      <w:pPr>
        <w:pStyle w:val="15"/>
        <w:spacing w:before="0" w:beforeAutospacing="0" w:after="0" w:afterAutospacing="0" w:line="3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4E50F6E">
      <w:pPr>
        <w:pStyle w:val="15"/>
        <w:spacing w:before="0" w:beforeAutospacing="0" w:after="0" w:afterAutospacing="0" w:line="360" w:lineRule="exact"/>
        <w:jc w:val="both"/>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6C30185">
      <w:pPr>
        <w:pStyle w:val="15"/>
        <w:spacing w:before="0" w:beforeAutospacing="0" w:after="0" w:afterAutospacing="0" w:line="3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3ABCD93E">
      <w:pPr>
        <w:pStyle w:val="15"/>
        <w:spacing w:before="0" w:beforeAutospacing="0" w:after="0" w:afterAutospacing="0" w:line="3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E107147">
      <w:pPr>
        <w:pStyle w:val="15"/>
        <w:spacing w:before="0" w:beforeAutospacing="0" w:after="0" w:afterAutospacing="0" w:line="3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4CC2A70">
      <w:pPr>
        <w:pStyle w:val="15"/>
        <w:spacing w:before="0" w:beforeAutospacing="0" w:after="0" w:afterAutospacing="0" w:line="360" w:lineRule="exact"/>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3C17314">
      <w:pPr>
        <w:pStyle w:val="15"/>
        <w:spacing w:before="0" w:beforeAutospacing="0" w:after="0" w:afterAutospacing="0" w:line="3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2373E804">
      <w:pPr>
        <w:pStyle w:val="15"/>
        <w:spacing w:before="0" w:beforeAutospacing="0" w:after="0" w:afterAutospacing="0" w:line="3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二、质疑项目基本情况</w:t>
      </w:r>
    </w:p>
    <w:p w14:paraId="06A3BD1E">
      <w:pPr>
        <w:pStyle w:val="15"/>
        <w:spacing w:before="0" w:beforeAutospacing="0" w:after="0" w:afterAutospacing="0" w:line="3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46432445">
      <w:pPr>
        <w:pStyle w:val="15"/>
        <w:spacing w:before="0" w:beforeAutospacing="0" w:after="0" w:afterAutospacing="0" w:line="360" w:lineRule="exact"/>
        <w:jc w:val="both"/>
        <w:rPr>
          <w:rFonts w:hint="eastAsia"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70F975CA">
      <w:pPr>
        <w:pStyle w:val="15"/>
        <w:spacing w:before="0" w:beforeAutospacing="0" w:after="0" w:afterAutospacing="0" w:line="3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9C65C69">
      <w:pPr>
        <w:pStyle w:val="15"/>
        <w:spacing w:before="0" w:beforeAutospacing="0" w:after="0" w:afterAutospacing="0" w:line="3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6322A2A8">
      <w:pPr>
        <w:pStyle w:val="15"/>
        <w:spacing w:before="0" w:beforeAutospacing="0" w:after="0" w:afterAutospacing="0" w:line="3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09DFE0EF">
      <w:pPr>
        <w:pStyle w:val="15"/>
        <w:spacing w:before="0" w:beforeAutospacing="0" w:after="0" w:afterAutospacing="0" w:line="3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三、质疑事项具体内容</w:t>
      </w:r>
    </w:p>
    <w:p w14:paraId="17CF9D7F">
      <w:pPr>
        <w:pStyle w:val="15"/>
        <w:spacing w:before="0" w:beforeAutospacing="0" w:after="0" w:afterAutospacing="0" w:line="3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49AD95A7">
      <w:pPr>
        <w:pStyle w:val="15"/>
        <w:spacing w:before="0" w:beforeAutospacing="0" w:after="0" w:afterAutospacing="0" w:line="360" w:lineRule="exact"/>
        <w:rPr>
          <w:rFonts w:hint="eastAsia"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6106CCBF">
      <w:pPr>
        <w:pStyle w:val="15"/>
        <w:spacing w:before="0" w:beforeAutospacing="0" w:after="0" w:afterAutospacing="0" w:line="3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5B9CF663">
      <w:pPr>
        <w:pStyle w:val="15"/>
        <w:spacing w:before="0" w:beforeAutospacing="0" w:after="0" w:afterAutospacing="0" w:line="3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质疑事项2</w:t>
      </w:r>
    </w:p>
    <w:p w14:paraId="2098659A">
      <w:pPr>
        <w:pStyle w:val="15"/>
        <w:spacing w:before="0" w:beforeAutospacing="0" w:after="0" w:afterAutospacing="0" w:line="3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14BEFA0B">
      <w:pPr>
        <w:pStyle w:val="15"/>
        <w:spacing w:before="0" w:beforeAutospacing="0" w:after="0" w:afterAutospacing="0" w:line="3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428C6075">
      <w:pPr>
        <w:pStyle w:val="15"/>
        <w:spacing w:before="0" w:beforeAutospacing="0" w:after="0" w:afterAutospacing="0" w:line="3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24F4EE69">
      <w:pPr>
        <w:pStyle w:val="15"/>
        <w:spacing w:before="0" w:beforeAutospacing="0" w:after="0" w:afterAutospacing="0" w:line="3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63E761E9">
      <w:pPr>
        <w:pStyle w:val="15"/>
        <w:spacing w:before="0" w:beforeAutospacing="0" w:after="0" w:afterAutospacing="0" w:line="360" w:lineRule="exact"/>
        <w:jc w:val="both"/>
        <w:rPr>
          <w:rFonts w:hint="eastAsia" w:ascii="宋体" w:hAnsi="宋体" w:eastAsia="宋体" w:cs="宋体"/>
          <w:color w:val="auto"/>
          <w:highlight w:val="none"/>
        </w:rPr>
      </w:pPr>
      <w:r>
        <w:rPr>
          <w:rFonts w:hint="eastAsia" w:ascii="宋体" w:hAnsi="宋体" w:eastAsia="宋体" w:cs="宋体"/>
          <w:b/>
          <w:color w:val="auto"/>
          <w:highlight w:val="none"/>
        </w:rPr>
        <w:t>质疑函制作说明：</w:t>
      </w:r>
    </w:p>
    <w:p w14:paraId="19813516">
      <w:pPr>
        <w:pStyle w:val="15"/>
        <w:spacing w:before="0" w:beforeAutospacing="0" w:after="0" w:afterAutospacing="0" w:line="360" w:lineRule="exact"/>
        <w:rPr>
          <w:rFonts w:hint="eastAsia"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1BB22A40">
      <w:pPr>
        <w:pStyle w:val="15"/>
        <w:spacing w:before="0" w:beforeAutospacing="0" w:after="0" w:afterAutospacing="0" w:line="360" w:lineRule="exact"/>
        <w:rPr>
          <w:rFonts w:hint="eastAsia"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DAE3188">
      <w:pPr>
        <w:pStyle w:val="15"/>
        <w:spacing w:before="0" w:beforeAutospacing="0" w:after="0" w:afterAutospacing="0" w:line="360" w:lineRule="exact"/>
        <w:rPr>
          <w:rFonts w:hint="eastAsia" w:ascii="宋体" w:hAnsi="宋体" w:eastAsia="宋体" w:cs="宋体"/>
          <w:color w:val="auto"/>
          <w:highlight w:val="none"/>
        </w:rPr>
      </w:pPr>
      <w:r>
        <w:rPr>
          <w:rFonts w:hint="eastAsia" w:ascii="宋体" w:hAnsi="宋体" w:eastAsia="宋体" w:cs="宋体"/>
          <w:color w:val="auto"/>
          <w:highlight w:val="none"/>
        </w:rPr>
        <w:t>3.质疑供应商若对项目的某一</w:t>
      </w:r>
      <w:r>
        <w:rPr>
          <w:rFonts w:hint="eastAsia" w:ascii="宋体" w:hAnsi="宋体" w:eastAsia="宋体" w:cs="宋体"/>
          <w:color w:val="auto"/>
          <w:highlight w:val="none"/>
          <w:lang w:val="en-US" w:eastAsia="zh-CN"/>
        </w:rPr>
        <w:t>标段</w:t>
      </w:r>
      <w:r>
        <w:rPr>
          <w:rFonts w:hint="eastAsia" w:ascii="宋体" w:hAnsi="宋体" w:eastAsia="宋体" w:cs="宋体"/>
          <w:color w:val="auto"/>
          <w:highlight w:val="none"/>
        </w:rPr>
        <w:t>进行质疑，质疑函中应列明具体</w:t>
      </w:r>
      <w:r>
        <w:rPr>
          <w:rFonts w:hint="eastAsia" w:ascii="宋体" w:hAnsi="宋体" w:eastAsia="宋体" w:cs="宋体"/>
          <w:color w:val="auto"/>
          <w:highlight w:val="none"/>
          <w:lang w:val="en-US" w:eastAsia="zh-CN"/>
        </w:rPr>
        <w:t>标段号</w:t>
      </w:r>
      <w:r>
        <w:rPr>
          <w:rFonts w:hint="eastAsia" w:ascii="宋体" w:hAnsi="宋体" w:eastAsia="宋体" w:cs="宋体"/>
          <w:color w:val="auto"/>
          <w:highlight w:val="none"/>
        </w:rPr>
        <w:t>。</w:t>
      </w:r>
    </w:p>
    <w:p w14:paraId="3976078B">
      <w:pPr>
        <w:pStyle w:val="15"/>
        <w:spacing w:before="0" w:beforeAutospacing="0" w:after="0" w:afterAutospacing="0" w:line="360" w:lineRule="exact"/>
        <w:rPr>
          <w:rFonts w:hint="eastAsia"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3D78B03A">
      <w:pPr>
        <w:pStyle w:val="15"/>
        <w:spacing w:before="0" w:beforeAutospacing="0" w:after="0" w:afterAutospacing="0" w:line="360" w:lineRule="exact"/>
        <w:rPr>
          <w:rFonts w:hint="eastAsia"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644B0951">
      <w:pPr>
        <w:spacing w:line="360" w:lineRule="exac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6.质疑供应商为自然人的，质疑函应由本人签字；质疑供应商为法人或者其他组织的，质疑函应由法定代表人、主要负责人，或者其授权代表签字或者盖章，并加盖公章。</w:t>
      </w:r>
    </w:p>
    <w:p w14:paraId="59C85315">
      <w:pPr>
        <w:rPr>
          <w:rFonts w:hint="eastAsia" w:ascii="宋体" w:hAnsi="宋体" w:eastAsia="宋体" w:cs="宋体"/>
          <w:highlight w:val="none"/>
        </w:rPr>
      </w:pPr>
    </w:p>
    <w:sectPr>
      <w:footerReference r:id="rId6"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F"/>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Arial Unicode MS">
    <w:altName w:val="Arial"/>
    <w:panose1 w:val="020B0604020202020204"/>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icrosoft JhengHei">
    <w:panose1 w:val="020B0604030504040204"/>
    <w:charset w:val="88"/>
    <w:family w:val="auto"/>
    <w:pitch w:val="default"/>
    <w:sig w:usb0="000002A7" w:usb1="28CF4400" w:usb2="00000016" w:usb3="00000000" w:csb0="00100009"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433E6">
    <w:pPr>
      <w:pStyle w:val="12"/>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1C2FC0">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31C2FC0">
                    <w:pPr>
                      <w:pStyle w:val="12"/>
                    </w:pPr>
                    <w:r>
                      <w:fldChar w:fldCharType="begin"/>
                    </w:r>
                    <w:r>
                      <w:instrText xml:space="preserve"> PAGE  \* MERGEFORMAT </w:instrText>
                    </w:r>
                    <w:r>
                      <w:fldChar w:fldCharType="separate"/>
                    </w:r>
                    <w:r>
                      <w:t>2</w:t>
                    </w:r>
                    <w:r>
                      <w:fldChar w:fldCharType="end"/>
                    </w:r>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D8532">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EBBB5C">
                          <w:pPr>
                            <w:pStyle w:val="12"/>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CEBBB5C">
                    <w:pPr>
                      <w:pStyle w:val="12"/>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4BA73">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D8B415">
                          <w:pPr>
                            <w:pStyle w:val="12"/>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7D8B415">
                    <w:pPr>
                      <w:pStyle w:val="12"/>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6AEAD">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D95222">
                          <w:pPr>
                            <w:pStyle w:val="12"/>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1D95222">
                    <w:pPr>
                      <w:pStyle w:val="12"/>
                    </w:pPr>
                    <w:r>
                      <w:fldChar w:fldCharType="begin"/>
                    </w:r>
                    <w:r>
                      <w:instrText xml:space="preserve"> PAGE  \* MERGEFORMAT </w:instrText>
                    </w:r>
                    <w:r>
                      <w:fldChar w:fldCharType="separate"/>
                    </w:r>
                    <w:r>
                      <w:t>67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271C68"/>
    <w:multiLevelType w:val="singleLevel"/>
    <w:tmpl w:val="8A271C68"/>
    <w:lvl w:ilvl="0" w:tentative="0">
      <w:start w:val="7"/>
      <w:numFmt w:val="chineseCounting"/>
      <w:suff w:val="nothing"/>
      <w:lvlText w:val="%1、"/>
      <w:lvlJc w:val="left"/>
      <w:rPr>
        <w:rFonts w:hint="eastAsia"/>
      </w:rPr>
    </w:lvl>
  </w:abstractNum>
  <w:abstractNum w:abstractNumId="1">
    <w:nsid w:val="9D17E6A1"/>
    <w:multiLevelType w:val="singleLevel"/>
    <w:tmpl w:val="9D17E6A1"/>
    <w:lvl w:ilvl="0" w:tentative="0">
      <w:start w:val="5"/>
      <w:numFmt w:val="decimal"/>
      <w:suff w:val="nothing"/>
      <w:lvlText w:val="%1、"/>
      <w:lvlJc w:val="left"/>
    </w:lvl>
  </w:abstractNum>
  <w:abstractNum w:abstractNumId="2">
    <w:nsid w:val="B5E306ED"/>
    <w:multiLevelType w:val="multilevel"/>
    <w:tmpl w:val="B5E306ED"/>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C4489DF"/>
    <w:multiLevelType w:val="singleLevel"/>
    <w:tmpl w:val="DC4489DF"/>
    <w:lvl w:ilvl="0" w:tentative="0">
      <w:start w:val="12"/>
      <w:numFmt w:val="decimal"/>
      <w:suff w:val="nothing"/>
      <w:lvlText w:val="%1、"/>
      <w:lvlJc w:val="left"/>
    </w:lvl>
  </w:abstractNum>
  <w:abstractNum w:abstractNumId="4">
    <w:nsid w:val="03D62ECE"/>
    <w:multiLevelType w:val="multilevel"/>
    <w:tmpl w:val="03D62ECE"/>
    <w:lvl w:ilvl="0" w:tentative="0">
      <w:start w:val="1"/>
      <w:numFmt w:val="decimal"/>
      <w:lvlText w:val="%1)"/>
      <w:lvlJc w:val="left"/>
      <w:pPr>
        <w:ind w:left="425" w:hanging="425"/>
      </w:pPr>
      <w:rPr>
        <w:rFonts w:hint="default"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42363E07"/>
    <w:multiLevelType w:val="singleLevel"/>
    <w:tmpl w:val="42363E07"/>
    <w:lvl w:ilvl="0" w:tentative="0">
      <w:start w:val="1"/>
      <w:numFmt w:val="chineseCounting"/>
      <w:suff w:val="nothing"/>
      <w:lvlText w:val="%1、"/>
      <w:lvlJc w:val="left"/>
      <w:rPr>
        <w:rFonts w:hint="eastAsia"/>
      </w:rPr>
    </w:lvl>
  </w:abstractNum>
  <w:num w:numId="1">
    <w:abstractNumId w:val="1"/>
  </w:num>
  <w:num w:numId="2">
    <w:abstractNumId w:val="3"/>
  </w:num>
  <w:num w:numId="3">
    <w:abstractNumId w:val="5"/>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75369"/>
    <w:rsid w:val="00077137"/>
    <w:rsid w:val="00093DD2"/>
    <w:rsid w:val="00100CC0"/>
    <w:rsid w:val="00131CB1"/>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91F6E"/>
    <w:rsid w:val="004D3110"/>
    <w:rsid w:val="004D601E"/>
    <w:rsid w:val="00502ACB"/>
    <w:rsid w:val="00520AC5"/>
    <w:rsid w:val="00552DFB"/>
    <w:rsid w:val="005E283E"/>
    <w:rsid w:val="005E57E9"/>
    <w:rsid w:val="006932C0"/>
    <w:rsid w:val="006B6F15"/>
    <w:rsid w:val="007871B9"/>
    <w:rsid w:val="007A220C"/>
    <w:rsid w:val="007A7B98"/>
    <w:rsid w:val="007B1CF4"/>
    <w:rsid w:val="00817A96"/>
    <w:rsid w:val="0088127E"/>
    <w:rsid w:val="008B090D"/>
    <w:rsid w:val="008E4636"/>
    <w:rsid w:val="00935693"/>
    <w:rsid w:val="00A4304F"/>
    <w:rsid w:val="00A62079"/>
    <w:rsid w:val="00A70028"/>
    <w:rsid w:val="00A80AB0"/>
    <w:rsid w:val="00AA2A8E"/>
    <w:rsid w:val="00B07FD4"/>
    <w:rsid w:val="00B454C4"/>
    <w:rsid w:val="00BB6E09"/>
    <w:rsid w:val="00BE692E"/>
    <w:rsid w:val="00BE787D"/>
    <w:rsid w:val="00C30C78"/>
    <w:rsid w:val="00C36D58"/>
    <w:rsid w:val="00C83D22"/>
    <w:rsid w:val="00C86C58"/>
    <w:rsid w:val="00CB578B"/>
    <w:rsid w:val="00D1282F"/>
    <w:rsid w:val="00D550E3"/>
    <w:rsid w:val="00D63F4B"/>
    <w:rsid w:val="00D93FCD"/>
    <w:rsid w:val="00DF3269"/>
    <w:rsid w:val="00E40880"/>
    <w:rsid w:val="00E57898"/>
    <w:rsid w:val="00E6087B"/>
    <w:rsid w:val="00F130C8"/>
    <w:rsid w:val="00F264FD"/>
    <w:rsid w:val="00F33192"/>
    <w:rsid w:val="00F50207"/>
    <w:rsid w:val="00F66F31"/>
    <w:rsid w:val="00F8669E"/>
    <w:rsid w:val="00F957B2"/>
    <w:rsid w:val="00FC6132"/>
    <w:rsid w:val="00FE3C91"/>
    <w:rsid w:val="0129059A"/>
    <w:rsid w:val="014036E0"/>
    <w:rsid w:val="01416DF2"/>
    <w:rsid w:val="015C3D17"/>
    <w:rsid w:val="01C209CB"/>
    <w:rsid w:val="0225738E"/>
    <w:rsid w:val="02357688"/>
    <w:rsid w:val="025044CD"/>
    <w:rsid w:val="02851591"/>
    <w:rsid w:val="02BD5381"/>
    <w:rsid w:val="02C07C14"/>
    <w:rsid w:val="02D505AD"/>
    <w:rsid w:val="030D1BCF"/>
    <w:rsid w:val="03365B5E"/>
    <w:rsid w:val="034E4AD1"/>
    <w:rsid w:val="03574CFC"/>
    <w:rsid w:val="037E0789"/>
    <w:rsid w:val="038720C2"/>
    <w:rsid w:val="03913FFC"/>
    <w:rsid w:val="03BC7892"/>
    <w:rsid w:val="04395AA3"/>
    <w:rsid w:val="044E0E32"/>
    <w:rsid w:val="04700DA8"/>
    <w:rsid w:val="04C42C27"/>
    <w:rsid w:val="04C45905"/>
    <w:rsid w:val="04C74740"/>
    <w:rsid w:val="04CF1FA6"/>
    <w:rsid w:val="04F35535"/>
    <w:rsid w:val="056E5657"/>
    <w:rsid w:val="05AA02EA"/>
    <w:rsid w:val="05AD05DE"/>
    <w:rsid w:val="05BD3D79"/>
    <w:rsid w:val="05C018BB"/>
    <w:rsid w:val="05C7723B"/>
    <w:rsid w:val="05D1541D"/>
    <w:rsid w:val="06043E9E"/>
    <w:rsid w:val="06112117"/>
    <w:rsid w:val="0621639E"/>
    <w:rsid w:val="062C42CE"/>
    <w:rsid w:val="063A78C0"/>
    <w:rsid w:val="064C314F"/>
    <w:rsid w:val="06743898"/>
    <w:rsid w:val="06764670"/>
    <w:rsid w:val="06867FD2"/>
    <w:rsid w:val="068A6E34"/>
    <w:rsid w:val="06B12B65"/>
    <w:rsid w:val="06BD3726"/>
    <w:rsid w:val="06C05AB7"/>
    <w:rsid w:val="071D689A"/>
    <w:rsid w:val="0768220B"/>
    <w:rsid w:val="07887E6F"/>
    <w:rsid w:val="07994E3B"/>
    <w:rsid w:val="079D56D8"/>
    <w:rsid w:val="07A02A3F"/>
    <w:rsid w:val="07A40F48"/>
    <w:rsid w:val="07C35693"/>
    <w:rsid w:val="07E35D35"/>
    <w:rsid w:val="07EE4B7F"/>
    <w:rsid w:val="07F651C7"/>
    <w:rsid w:val="080A468F"/>
    <w:rsid w:val="08432C36"/>
    <w:rsid w:val="0854758E"/>
    <w:rsid w:val="0858227F"/>
    <w:rsid w:val="08732C15"/>
    <w:rsid w:val="08992D34"/>
    <w:rsid w:val="08B35707"/>
    <w:rsid w:val="08C86899"/>
    <w:rsid w:val="08DC386D"/>
    <w:rsid w:val="08EC5921"/>
    <w:rsid w:val="09132265"/>
    <w:rsid w:val="09686615"/>
    <w:rsid w:val="09925565"/>
    <w:rsid w:val="099B2D17"/>
    <w:rsid w:val="09CB6A81"/>
    <w:rsid w:val="09D92A42"/>
    <w:rsid w:val="09F23B8C"/>
    <w:rsid w:val="09FE79EC"/>
    <w:rsid w:val="0A132EEA"/>
    <w:rsid w:val="0A157CFC"/>
    <w:rsid w:val="0A2D3298"/>
    <w:rsid w:val="0AB319EF"/>
    <w:rsid w:val="0ABC363A"/>
    <w:rsid w:val="0AD8294B"/>
    <w:rsid w:val="0B3D575C"/>
    <w:rsid w:val="0B4B3B00"/>
    <w:rsid w:val="0B4E34C6"/>
    <w:rsid w:val="0B664CB3"/>
    <w:rsid w:val="0B7619E9"/>
    <w:rsid w:val="0B8A23C1"/>
    <w:rsid w:val="0BA61C72"/>
    <w:rsid w:val="0BAE3813"/>
    <w:rsid w:val="0BF83BD6"/>
    <w:rsid w:val="0BFF003E"/>
    <w:rsid w:val="0C1E63CC"/>
    <w:rsid w:val="0C3E689B"/>
    <w:rsid w:val="0C92221D"/>
    <w:rsid w:val="0C9413AC"/>
    <w:rsid w:val="0CD619C5"/>
    <w:rsid w:val="0CD82045"/>
    <w:rsid w:val="0CF54BA1"/>
    <w:rsid w:val="0CFF0F1B"/>
    <w:rsid w:val="0D0522AA"/>
    <w:rsid w:val="0D1C18BE"/>
    <w:rsid w:val="0D4D2FC1"/>
    <w:rsid w:val="0E0362D5"/>
    <w:rsid w:val="0E097B78"/>
    <w:rsid w:val="0E0F33E0"/>
    <w:rsid w:val="0E250E55"/>
    <w:rsid w:val="0E265874"/>
    <w:rsid w:val="0E4A08BC"/>
    <w:rsid w:val="0E63372C"/>
    <w:rsid w:val="0E741495"/>
    <w:rsid w:val="0E966A8C"/>
    <w:rsid w:val="0E9C279A"/>
    <w:rsid w:val="0EB36461"/>
    <w:rsid w:val="0EE61CD2"/>
    <w:rsid w:val="0F0A004B"/>
    <w:rsid w:val="0F587009"/>
    <w:rsid w:val="0F655282"/>
    <w:rsid w:val="0F6D24BC"/>
    <w:rsid w:val="0F7D537E"/>
    <w:rsid w:val="0FBC4A1F"/>
    <w:rsid w:val="0FE97C61"/>
    <w:rsid w:val="0FFC5BE6"/>
    <w:rsid w:val="10007707"/>
    <w:rsid w:val="106F460A"/>
    <w:rsid w:val="107015F2"/>
    <w:rsid w:val="10B2533E"/>
    <w:rsid w:val="10F7015B"/>
    <w:rsid w:val="10F845FF"/>
    <w:rsid w:val="11072A94"/>
    <w:rsid w:val="111D7BC2"/>
    <w:rsid w:val="113F222E"/>
    <w:rsid w:val="1141788B"/>
    <w:rsid w:val="11427629"/>
    <w:rsid w:val="11A42091"/>
    <w:rsid w:val="11A622AD"/>
    <w:rsid w:val="11AB711C"/>
    <w:rsid w:val="11EB7CC0"/>
    <w:rsid w:val="12163467"/>
    <w:rsid w:val="121F6584"/>
    <w:rsid w:val="124E2E13"/>
    <w:rsid w:val="12957C2C"/>
    <w:rsid w:val="12A21019"/>
    <w:rsid w:val="12AD31C8"/>
    <w:rsid w:val="12D55258"/>
    <w:rsid w:val="12D76496"/>
    <w:rsid w:val="12D9220E"/>
    <w:rsid w:val="12F015A0"/>
    <w:rsid w:val="130D7114"/>
    <w:rsid w:val="130F15DA"/>
    <w:rsid w:val="13207E3D"/>
    <w:rsid w:val="132711CC"/>
    <w:rsid w:val="13D157F4"/>
    <w:rsid w:val="13FF7A53"/>
    <w:rsid w:val="143771ED"/>
    <w:rsid w:val="143E4A1F"/>
    <w:rsid w:val="14452C4A"/>
    <w:rsid w:val="14477BA7"/>
    <w:rsid w:val="144813FA"/>
    <w:rsid w:val="145E6E6F"/>
    <w:rsid w:val="14E25808"/>
    <w:rsid w:val="150F0169"/>
    <w:rsid w:val="156F29B6"/>
    <w:rsid w:val="157923E7"/>
    <w:rsid w:val="1585042C"/>
    <w:rsid w:val="15C26F8A"/>
    <w:rsid w:val="15CF4882"/>
    <w:rsid w:val="161B527E"/>
    <w:rsid w:val="162C6AF9"/>
    <w:rsid w:val="163E3563"/>
    <w:rsid w:val="16483FE5"/>
    <w:rsid w:val="168057A3"/>
    <w:rsid w:val="169263C8"/>
    <w:rsid w:val="169E4D4C"/>
    <w:rsid w:val="16A61788"/>
    <w:rsid w:val="16AF4856"/>
    <w:rsid w:val="16D231FD"/>
    <w:rsid w:val="16EA49EA"/>
    <w:rsid w:val="16FC471D"/>
    <w:rsid w:val="170045BA"/>
    <w:rsid w:val="1719707D"/>
    <w:rsid w:val="17237EFC"/>
    <w:rsid w:val="174D6D27"/>
    <w:rsid w:val="174D7871"/>
    <w:rsid w:val="17537997"/>
    <w:rsid w:val="17666D47"/>
    <w:rsid w:val="176F0FD8"/>
    <w:rsid w:val="17732C32"/>
    <w:rsid w:val="178521C3"/>
    <w:rsid w:val="17884203"/>
    <w:rsid w:val="17C101CD"/>
    <w:rsid w:val="17CA0378"/>
    <w:rsid w:val="17E656A9"/>
    <w:rsid w:val="17F35B20"/>
    <w:rsid w:val="1840063A"/>
    <w:rsid w:val="186B56B7"/>
    <w:rsid w:val="186E51A7"/>
    <w:rsid w:val="18756535"/>
    <w:rsid w:val="18BC4109"/>
    <w:rsid w:val="18D1318E"/>
    <w:rsid w:val="18D23988"/>
    <w:rsid w:val="18E84BE1"/>
    <w:rsid w:val="190D4440"/>
    <w:rsid w:val="19290C12"/>
    <w:rsid w:val="193260E4"/>
    <w:rsid w:val="19835197"/>
    <w:rsid w:val="19A11C2E"/>
    <w:rsid w:val="19C81DF8"/>
    <w:rsid w:val="19ED1B40"/>
    <w:rsid w:val="1A0062D3"/>
    <w:rsid w:val="1A1C3150"/>
    <w:rsid w:val="1A216BA9"/>
    <w:rsid w:val="1A4F2C83"/>
    <w:rsid w:val="1A622AE9"/>
    <w:rsid w:val="1A8B0292"/>
    <w:rsid w:val="1AA839EE"/>
    <w:rsid w:val="1AD2708F"/>
    <w:rsid w:val="1AD75285"/>
    <w:rsid w:val="1AE6196C"/>
    <w:rsid w:val="1AE94FB9"/>
    <w:rsid w:val="1AFC6A9A"/>
    <w:rsid w:val="1B0D0CA7"/>
    <w:rsid w:val="1B193AF0"/>
    <w:rsid w:val="1B361845"/>
    <w:rsid w:val="1B5508A0"/>
    <w:rsid w:val="1B5F5046"/>
    <w:rsid w:val="1B9509DF"/>
    <w:rsid w:val="1BA002D8"/>
    <w:rsid w:val="1BDE2887"/>
    <w:rsid w:val="1BF73705"/>
    <w:rsid w:val="1C3861F8"/>
    <w:rsid w:val="1C493F61"/>
    <w:rsid w:val="1C632B49"/>
    <w:rsid w:val="1C8036FB"/>
    <w:rsid w:val="1CAC4347"/>
    <w:rsid w:val="1CB45DCE"/>
    <w:rsid w:val="1CBF2475"/>
    <w:rsid w:val="1CD87093"/>
    <w:rsid w:val="1D0600A4"/>
    <w:rsid w:val="1D1C1092"/>
    <w:rsid w:val="1D271DC8"/>
    <w:rsid w:val="1D306ECF"/>
    <w:rsid w:val="1D540E0F"/>
    <w:rsid w:val="1D5C414C"/>
    <w:rsid w:val="1D605A5A"/>
    <w:rsid w:val="1D6B7F07"/>
    <w:rsid w:val="1D812873"/>
    <w:rsid w:val="1D8452C1"/>
    <w:rsid w:val="1DDF4451"/>
    <w:rsid w:val="1DE2466D"/>
    <w:rsid w:val="1DEF0B38"/>
    <w:rsid w:val="1DF42207"/>
    <w:rsid w:val="1DFD1285"/>
    <w:rsid w:val="1E2F53D8"/>
    <w:rsid w:val="1E314610"/>
    <w:rsid w:val="1E3E2F64"/>
    <w:rsid w:val="1E4E1D03"/>
    <w:rsid w:val="1E522E75"/>
    <w:rsid w:val="1E911BEF"/>
    <w:rsid w:val="1EB0428F"/>
    <w:rsid w:val="1EC70509"/>
    <w:rsid w:val="1ED146E2"/>
    <w:rsid w:val="1EE6018D"/>
    <w:rsid w:val="1EFD1033"/>
    <w:rsid w:val="1F4A0271"/>
    <w:rsid w:val="1F7237CF"/>
    <w:rsid w:val="1F8B663F"/>
    <w:rsid w:val="1FA5245A"/>
    <w:rsid w:val="1FC7762D"/>
    <w:rsid w:val="1FCD4EA9"/>
    <w:rsid w:val="2000702C"/>
    <w:rsid w:val="205C376D"/>
    <w:rsid w:val="20607ACB"/>
    <w:rsid w:val="20677E3C"/>
    <w:rsid w:val="20733730"/>
    <w:rsid w:val="20914128"/>
    <w:rsid w:val="209429D0"/>
    <w:rsid w:val="20A83FAF"/>
    <w:rsid w:val="20C718F8"/>
    <w:rsid w:val="20CE42A1"/>
    <w:rsid w:val="20D02EA3"/>
    <w:rsid w:val="215025DE"/>
    <w:rsid w:val="215A39BD"/>
    <w:rsid w:val="217E5509"/>
    <w:rsid w:val="21A460DD"/>
    <w:rsid w:val="21B225A8"/>
    <w:rsid w:val="21CC717D"/>
    <w:rsid w:val="21E36C06"/>
    <w:rsid w:val="21E62252"/>
    <w:rsid w:val="21F7445F"/>
    <w:rsid w:val="21F77FBB"/>
    <w:rsid w:val="21FF3314"/>
    <w:rsid w:val="221C0C67"/>
    <w:rsid w:val="222F3BF9"/>
    <w:rsid w:val="22424AA4"/>
    <w:rsid w:val="2265586D"/>
    <w:rsid w:val="228C104B"/>
    <w:rsid w:val="22934188"/>
    <w:rsid w:val="229F0EF3"/>
    <w:rsid w:val="22B52AA1"/>
    <w:rsid w:val="22F62B8A"/>
    <w:rsid w:val="22FE5379"/>
    <w:rsid w:val="23151041"/>
    <w:rsid w:val="23243032"/>
    <w:rsid w:val="23254D08"/>
    <w:rsid w:val="23534E2B"/>
    <w:rsid w:val="23552C0A"/>
    <w:rsid w:val="23A52A48"/>
    <w:rsid w:val="240368F9"/>
    <w:rsid w:val="240B1718"/>
    <w:rsid w:val="2419690F"/>
    <w:rsid w:val="242B219E"/>
    <w:rsid w:val="242C02D7"/>
    <w:rsid w:val="24523BCF"/>
    <w:rsid w:val="24533DC2"/>
    <w:rsid w:val="24651B54"/>
    <w:rsid w:val="24BE643D"/>
    <w:rsid w:val="24C83F2F"/>
    <w:rsid w:val="24D80578"/>
    <w:rsid w:val="2532334D"/>
    <w:rsid w:val="25421E95"/>
    <w:rsid w:val="256718FC"/>
    <w:rsid w:val="258C3110"/>
    <w:rsid w:val="258C4EBE"/>
    <w:rsid w:val="259B3353"/>
    <w:rsid w:val="25F563DB"/>
    <w:rsid w:val="264E03C6"/>
    <w:rsid w:val="265E2CFF"/>
    <w:rsid w:val="26750FF7"/>
    <w:rsid w:val="26A5448A"/>
    <w:rsid w:val="27064377"/>
    <w:rsid w:val="27194423"/>
    <w:rsid w:val="271B299E"/>
    <w:rsid w:val="27206206"/>
    <w:rsid w:val="27290FC5"/>
    <w:rsid w:val="27C03E5A"/>
    <w:rsid w:val="27CB43C4"/>
    <w:rsid w:val="27D17500"/>
    <w:rsid w:val="27D33279"/>
    <w:rsid w:val="280E42B1"/>
    <w:rsid w:val="280F2F92"/>
    <w:rsid w:val="28407F43"/>
    <w:rsid w:val="285C6DCA"/>
    <w:rsid w:val="286914E7"/>
    <w:rsid w:val="28A569C3"/>
    <w:rsid w:val="28A95D87"/>
    <w:rsid w:val="28B466DE"/>
    <w:rsid w:val="28BC3D0D"/>
    <w:rsid w:val="28CF2CA2"/>
    <w:rsid w:val="28D177B8"/>
    <w:rsid w:val="28FE41FC"/>
    <w:rsid w:val="28FF5BF5"/>
    <w:rsid w:val="29135156"/>
    <w:rsid w:val="2919115F"/>
    <w:rsid w:val="29206950"/>
    <w:rsid w:val="29345C52"/>
    <w:rsid w:val="29377724"/>
    <w:rsid w:val="2996274E"/>
    <w:rsid w:val="29A053DC"/>
    <w:rsid w:val="29A21154"/>
    <w:rsid w:val="29AD43F2"/>
    <w:rsid w:val="29BD7D3C"/>
    <w:rsid w:val="2A0911D4"/>
    <w:rsid w:val="2A1E5633"/>
    <w:rsid w:val="2A4648B7"/>
    <w:rsid w:val="2A465F84"/>
    <w:rsid w:val="2A810D6A"/>
    <w:rsid w:val="2A9A62D0"/>
    <w:rsid w:val="2ADB2B70"/>
    <w:rsid w:val="2B005440"/>
    <w:rsid w:val="2B17347C"/>
    <w:rsid w:val="2B2611D9"/>
    <w:rsid w:val="2B2B0B8D"/>
    <w:rsid w:val="2BCA6741"/>
    <w:rsid w:val="2C03574A"/>
    <w:rsid w:val="2C0A4EA8"/>
    <w:rsid w:val="2C583D4C"/>
    <w:rsid w:val="2C7B3B05"/>
    <w:rsid w:val="2C80619C"/>
    <w:rsid w:val="2CB35427"/>
    <w:rsid w:val="2CC277F5"/>
    <w:rsid w:val="2CC413E2"/>
    <w:rsid w:val="2CCF04B2"/>
    <w:rsid w:val="2CEA709A"/>
    <w:rsid w:val="2D1558E1"/>
    <w:rsid w:val="2D39592C"/>
    <w:rsid w:val="2D4D7629"/>
    <w:rsid w:val="2D5870A2"/>
    <w:rsid w:val="2DA354E1"/>
    <w:rsid w:val="2DC368F8"/>
    <w:rsid w:val="2E0777D8"/>
    <w:rsid w:val="2E0C4DEE"/>
    <w:rsid w:val="2E5E7AF7"/>
    <w:rsid w:val="2E870919"/>
    <w:rsid w:val="2E8B665B"/>
    <w:rsid w:val="2E9F2106"/>
    <w:rsid w:val="2EC15BD9"/>
    <w:rsid w:val="2EE73822"/>
    <w:rsid w:val="2EED7AA0"/>
    <w:rsid w:val="2F2C0E88"/>
    <w:rsid w:val="2F326AD7"/>
    <w:rsid w:val="2F7215C9"/>
    <w:rsid w:val="2F99081C"/>
    <w:rsid w:val="2FA80D19"/>
    <w:rsid w:val="2FAD4FD9"/>
    <w:rsid w:val="2FB346FB"/>
    <w:rsid w:val="2FF16992"/>
    <w:rsid w:val="2FF31F41"/>
    <w:rsid w:val="2FFA5778"/>
    <w:rsid w:val="30495C84"/>
    <w:rsid w:val="304A60A2"/>
    <w:rsid w:val="305F1B4D"/>
    <w:rsid w:val="30650005"/>
    <w:rsid w:val="30AE4883"/>
    <w:rsid w:val="30D03937"/>
    <w:rsid w:val="310333AD"/>
    <w:rsid w:val="3126266B"/>
    <w:rsid w:val="31522189"/>
    <w:rsid w:val="318E0F10"/>
    <w:rsid w:val="31B92820"/>
    <w:rsid w:val="31BB7257"/>
    <w:rsid w:val="31DB0550"/>
    <w:rsid w:val="31E7004C"/>
    <w:rsid w:val="31EB0315"/>
    <w:rsid w:val="322272D6"/>
    <w:rsid w:val="322A181E"/>
    <w:rsid w:val="323963CE"/>
    <w:rsid w:val="324F5BF1"/>
    <w:rsid w:val="32531113"/>
    <w:rsid w:val="327D62BB"/>
    <w:rsid w:val="329E6CD8"/>
    <w:rsid w:val="32AE0B6A"/>
    <w:rsid w:val="32CC7242"/>
    <w:rsid w:val="32E77BD8"/>
    <w:rsid w:val="33333F65"/>
    <w:rsid w:val="33440753"/>
    <w:rsid w:val="334B4AB3"/>
    <w:rsid w:val="33773E42"/>
    <w:rsid w:val="339A10EE"/>
    <w:rsid w:val="33C723F8"/>
    <w:rsid w:val="34050C5E"/>
    <w:rsid w:val="34367069"/>
    <w:rsid w:val="344B7FC4"/>
    <w:rsid w:val="34704869"/>
    <w:rsid w:val="34C06933"/>
    <w:rsid w:val="34E14EA2"/>
    <w:rsid w:val="34E22D4D"/>
    <w:rsid w:val="34E346A0"/>
    <w:rsid w:val="34F13CB6"/>
    <w:rsid w:val="34FF56AD"/>
    <w:rsid w:val="351849C1"/>
    <w:rsid w:val="35380BBF"/>
    <w:rsid w:val="355157DD"/>
    <w:rsid w:val="359B1151"/>
    <w:rsid w:val="35A41DB0"/>
    <w:rsid w:val="35A85D44"/>
    <w:rsid w:val="35AD49A2"/>
    <w:rsid w:val="35B96959"/>
    <w:rsid w:val="35BC534C"/>
    <w:rsid w:val="35C45D5A"/>
    <w:rsid w:val="36172BC3"/>
    <w:rsid w:val="362F577B"/>
    <w:rsid w:val="366F0610"/>
    <w:rsid w:val="36721EAF"/>
    <w:rsid w:val="36CC7C95"/>
    <w:rsid w:val="36DD3098"/>
    <w:rsid w:val="36E076F0"/>
    <w:rsid w:val="36EB650A"/>
    <w:rsid w:val="37103BA1"/>
    <w:rsid w:val="375B1FDF"/>
    <w:rsid w:val="37735EDE"/>
    <w:rsid w:val="37737C8C"/>
    <w:rsid w:val="378133A9"/>
    <w:rsid w:val="379B3001"/>
    <w:rsid w:val="379D32A7"/>
    <w:rsid w:val="37D6480E"/>
    <w:rsid w:val="38233460"/>
    <w:rsid w:val="38291CE8"/>
    <w:rsid w:val="383A233E"/>
    <w:rsid w:val="386121DB"/>
    <w:rsid w:val="386A108F"/>
    <w:rsid w:val="38787C50"/>
    <w:rsid w:val="38CC3DF9"/>
    <w:rsid w:val="390C65EA"/>
    <w:rsid w:val="39101F1B"/>
    <w:rsid w:val="392164F8"/>
    <w:rsid w:val="392D7EB3"/>
    <w:rsid w:val="39643D30"/>
    <w:rsid w:val="39720FC7"/>
    <w:rsid w:val="39987E7E"/>
    <w:rsid w:val="39A84137"/>
    <w:rsid w:val="39C24EFB"/>
    <w:rsid w:val="39CD52E9"/>
    <w:rsid w:val="39FF7EFD"/>
    <w:rsid w:val="3A1C0AAF"/>
    <w:rsid w:val="3A575643"/>
    <w:rsid w:val="3A59585F"/>
    <w:rsid w:val="3A64388F"/>
    <w:rsid w:val="3AB02FA5"/>
    <w:rsid w:val="3AD153F6"/>
    <w:rsid w:val="3AD56CC2"/>
    <w:rsid w:val="3B0B043D"/>
    <w:rsid w:val="3B702E61"/>
    <w:rsid w:val="3B8734FF"/>
    <w:rsid w:val="3B9710EF"/>
    <w:rsid w:val="3BC907C3"/>
    <w:rsid w:val="3BD1496C"/>
    <w:rsid w:val="3BDF2457"/>
    <w:rsid w:val="3BDF7FE6"/>
    <w:rsid w:val="3C595532"/>
    <w:rsid w:val="3CC36DCD"/>
    <w:rsid w:val="3CFC0724"/>
    <w:rsid w:val="3D0108B6"/>
    <w:rsid w:val="3D23372C"/>
    <w:rsid w:val="3D2823FA"/>
    <w:rsid w:val="3D415DE7"/>
    <w:rsid w:val="3D581DFE"/>
    <w:rsid w:val="3D6A4AAA"/>
    <w:rsid w:val="3D7A6218"/>
    <w:rsid w:val="3DCE3E6E"/>
    <w:rsid w:val="3DF80C94"/>
    <w:rsid w:val="3DFD4754"/>
    <w:rsid w:val="3E064F5A"/>
    <w:rsid w:val="3E161B6B"/>
    <w:rsid w:val="3E23240C"/>
    <w:rsid w:val="3E477724"/>
    <w:rsid w:val="3E494CA8"/>
    <w:rsid w:val="3E496B6B"/>
    <w:rsid w:val="3E5527E2"/>
    <w:rsid w:val="3E7F5998"/>
    <w:rsid w:val="3E88226F"/>
    <w:rsid w:val="3EED6576"/>
    <w:rsid w:val="3F0056DB"/>
    <w:rsid w:val="3F0156C1"/>
    <w:rsid w:val="3F1A3023"/>
    <w:rsid w:val="3F243A9D"/>
    <w:rsid w:val="3F281CA4"/>
    <w:rsid w:val="3F6518A1"/>
    <w:rsid w:val="3FC26720"/>
    <w:rsid w:val="3FCE0156"/>
    <w:rsid w:val="3FD9040F"/>
    <w:rsid w:val="3FE37FE5"/>
    <w:rsid w:val="40260F22"/>
    <w:rsid w:val="402B33C8"/>
    <w:rsid w:val="40350295"/>
    <w:rsid w:val="404E5107"/>
    <w:rsid w:val="406E1D8D"/>
    <w:rsid w:val="41120516"/>
    <w:rsid w:val="41140732"/>
    <w:rsid w:val="41562AF9"/>
    <w:rsid w:val="416D1BF0"/>
    <w:rsid w:val="41D659E7"/>
    <w:rsid w:val="41FD7F7B"/>
    <w:rsid w:val="42053C57"/>
    <w:rsid w:val="42214BD9"/>
    <w:rsid w:val="42324DFA"/>
    <w:rsid w:val="423F438F"/>
    <w:rsid w:val="424656E4"/>
    <w:rsid w:val="42554B5E"/>
    <w:rsid w:val="42AB600A"/>
    <w:rsid w:val="42AF59D8"/>
    <w:rsid w:val="43033C79"/>
    <w:rsid w:val="431353F3"/>
    <w:rsid w:val="432269F1"/>
    <w:rsid w:val="43374264"/>
    <w:rsid w:val="43455446"/>
    <w:rsid w:val="43827000"/>
    <w:rsid w:val="43996CCD"/>
    <w:rsid w:val="443D1D4E"/>
    <w:rsid w:val="44501024"/>
    <w:rsid w:val="4450382F"/>
    <w:rsid w:val="448B0D0B"/>
    <w:rsid w:val="44A27E03"/>
    <w:rsid w:val="44DA072F"/>
    <w:rsid w:val="44E70F76"/>
    <w:rsid w:val="44F7014F"/>
    <w:rsid w:val="452847AC"/>
    <w:rsid w:val="454D0F8E"/>
    <w:rsid w:val="45DE2E69"/>
    <w:rsid w:val="45FC0A54"/>
    <w:rsid w:val="461D469A"/>
    <w:rsid w:val="46601D24"/>
    <w:rsid w:val="466976E6"/>
    <w:rsid w:val="468C2B19"/>
    <w:rsid w:val="469C070D"/>
    <w:rsid w:val="46D32596"/>
    <w:rsid w:val="46EA0CE7"/>
    <w:rsid w:val="470D4256"/>
    <w:rsid w:val="471A69C9"/>
    <w:rsid w:val="472208AE"/>
    <w:rsid w:val="472F0F14"/>
    <w:rsid w:val="47347438"/>
    <w:rsid w:val="47704C41"/>
    <w:rsid w:val="47727F60"/>
    <w:rsid w:val="47755C7D"/>
    <w:rsid w:val="477F6C5D"/>
    <w:rsid w:val="47B925F3"/>
    <w:rsid w:val="47D23278"/>
    <w:rsid w:val="4828582E"/>
    <w:rsid w:val="4840005F"/>
    <w:rsid w:val="48646B0B"/>
    <w:rsid w:val="48771F96"/>
    <w:rsid w:val="48910AEC"/>
    <w:rsid w:val="489D725F"/>
    <w:rsid w:val="48B3170D"/>
    <w:rsid w:val="48BF0F83"/>
    <w:rsid w:val="493C7DE9"/>
    <w:rsid w:val="49584F34"/>
    <w:rsid w:val="497955D6"/>
    <w:rsid w:val="49D62B33"/>
    <w:rsid w:val="49DC5B65"/>
    <w:rsid w:val="4A1E13B4"/>
    <w:rsid w:val="4A2C49B0"/>
    <w:rsid w:val="4A416316"/>
    <w:rsid w:val="4A4554B8"/>
    <w:rsid w:val="4A547DF1"/>
    <w:rsid w:val="4A7D1B0F"/>
    <w:rsid w:val="4AAC50D1"/>
    <w:rsid w:val="4AB93F83"/>
    <w:rsid w:val="4AD048CE"/>
    <w:rsid w:val="4AD14F9E"/>
    <w:rsid w:val="4AF64A04"/>
    <w:rsid w:val="4AFA44F5"/>
    <w:rsid w:val="4B0C37B9"/>
    <w:rsid w:val="4B2A0B72"/>
    <w:rsid w:val="4B944949"/>
    <w:rsid w:val="4BC33B49"/>
    <w:rsid w:val="4BC45C10"/>
    <w:rsid w:val="4BD12EAB"/>
    <w:rsid w:val="4C190622"/>
    <w:rsid w:val="4C2613CF"/>
    <w:rsid w:val="4C325379"/>
    <w:rsid w:val="4C5A2B74"/>
    <w:rsid w:val="4C806F27"/>
    <w:rsid w:val="4CBB7CB4"/>
    <w:rsid w:val="4CF00FA3"/>
    <w:rsid w:val="4CFE5A10"/>
    <w:rsid w:val="4D16138E"/>
    <w:rsid w:val="4D1F46E6"/>
    <w:rsid w:val="4D2C5A70"/>
    <w:rsid w:val="4D2D20D9"/>
    <w:rsid w:val="4D317F76"/>
    <w:rsid w:val="4D3C69F8"/>
    <w:rsid w:val="4D665E71"/>
    <w:rsid w:val="4D784E5B"/>
    <w:rsid w:val="4D8C1655"/>
    <w:rsid w:val="4D973CBF"/>
    <w:rsid w:val="4DA074F7"/>
    <w:rsid w:val="4DA33F07"/>
    <w:rsid w:val="4DC332C4"/>
    <w:rsid w:val="4DDE52C0"/>
    <w:rsid w:val="4DF92F05"/>
    <w:rsid w:val="4DFC4A28"/>
    <w:rsid w:val="4E2633B6"/>
    <w:rsid w:val="4E4A7541"/>
    <w:rsid w:val="4E7E553E"/>
    <w:rsid w:val="4E8A2033"/>
    <w:rsid w:val="4EDD03B5"/>
    <w:rsid w:val="4EDD17D1"/>
    <w:rsid w:val="4EFC2793"/>
    <w:rsid w:val="4F2022D8"/>
    <w:rsid w:val="4F22401A"/>
    <w:rsid w:val="4F31425D"/>
    <w:rsid w:val="4F337FD5"/>
    <w:rsid w:val="4F361873"/>
    <w:rsid w:val="4F391364"/>
    <w:rsid w:val="4F526BF1"/>
    <w:rsid w:val="4F7B0BB9"/>
    <w:rsid w:val="4F8678B2"/>
    <w:rsid w:val="4FC155E1"/>
    <w:rsid w:val="4FC2427A"/>
    <w:rsid w:val="4FFF6109"/>
    <w:rsid w:val="5019366F"/>
    <w:rsid w:val="50901457"/>
    <w:rsid w:val="50923421"/>
    <w:rsid w:val="50A0169A"/>
    <w:rsid w:val="50A1397F"/>
    <w:rsid w:val="50C11611"/>
    <w:rsid w:val="5156444F"/>
    <w:rsid w:val="516C3C72"/>
    <w:rsid w:val="51B03B5F"/>
    <w:rsid w:val="51C615D4"/>
    <w:rsid w:val="51C75DFE"/>
    <w:rsid w:val="51D30F2C"/>
    <w:rsid w:val="51D35A9F"/>
    <w:rsid w:val="525070F0"/>
    <w:rsid w:val="526D0E4B"/>
    <w:rsid w:val="52741FCB"/>
    <w:rsid w:val="52976F97"/>
    <w:rsid w:val="52CA1464"/>
    <w:rsid w:val="52D06B10"/>
    <w:rsid w:val="52D52291"/>
    <w:rsid w:val="52E02222"/>
    <w:rsid w:val="52F65EE9"/>
    <w:rsid w:val="52F94A37"/>
    <w:rsid w:val="53112879"/>
    <w:rsid w:val="533D58C6"/>
    <w:rsid w:val="53536515"/>
    <w:rsid w:val="536B21BA"/>
    <w:rsid w:val="53A45945"/>
    <w:rsid w:val="53A862CC"/>
    <w:rsid w:val="53B813F1"/>
    <w:rsid w:val="542645AC"/>
    <w:rsid w:val="542A0FDA"/>
    <w:rsid w:val="545729B8"/>
    <w:rsid w:val="546C11F4"/>
    <w:rsid w:val="546E1AAF"/>
    <w:rsid w:val="54857525"/>
    <w:rsid w:val="54ED53D0"/>
    <w:rsid w:val="55091CCC"/>
    <w:rsid w:val="550B6B32"/>
    <w:rsid w:val="551D39FE"/>
    <w:rsid w:val="55284354"/>
    <w:rsid w:val="55354957"/>
    <w:rsid w:val="5591162F"/>
    <w:rsid w:val="55AC6D33"/>
    <w:rsid w:val="55C67DF5"/>
    <w:rsid w:val="55F12998"/>
    <w:rsid w:val="55FA184D"/>
    <w:rsid w:val="56307253"/>
    <w:rsid w:val="56453199"/>
    <w:rsid w:val="565151E5"/>
    <w:rsid w:val="565F5B54"/>
    <w:rsid w:val="566E3FE9"/>
    <w:rsid w:val="56D4587B"/>
    <w:rsid w:val="57255093"/>
    <w:rsid w:val="576553EC"/>
    <w:rsid w:val="57783371"/>
    <w:rsid w:val="57803CDA"/>
    <w:rsid w:val="57D4431F"/>
    <w:rsid w:val="57D61E46"/>
    <w:rsid w:val="581666E6"/>
    <w:rsid w:val="581F24DF"/>
    <w:rsid w:val="582F6DAB"/>
    <w:rsid w:val="58366D88"/>
    <w:rsid w:val="5862192B"/>
    <w:rsid w:val="587358E6"/>
    <w:rsid w:val="58870E5D"/>
    <w:rsid w:val="588910E4"/>
    <w:rsid w:val="58977827"/>
    <w:rsid w:val="58AD45AF"/>
    <w:rsid w:val="58B32038"/>
    <w:rsid w:val="58D4718C"/>
    <w:rsid w:val="58E701E7"/>
    <w:rsid w:val="58EF2CA3"/>
    <w:rsid w:val="58FF717A"/>
    <w:rsid w:val="590107C8"/>
    <w:rsid w:val="59274DA4"/>
    <w:rsid w:val="59282B75"/>
    <w:rsid w:val="59510183"/>
    <w:rsid w:val="59562C7F"/>
    <w:rsid w:val="59605E6B"/>
    <w:rsid w:val="597131E7"/>
    <w:rsid w:val="5973526A"/>
    <w:rsid w:val="599211F9"/>
    <w:rsid w:val="59A82CA5"/>
    <w:rsid w:val="59B86487"/>
    <w:rsid w:val="59C56616"/>
    <w:rsid w:val="5A186745"/>
    <w:rsid w:val="5A1E7A21"/>
    <w:rsid w:val="5A2C2C09"/>
    <w:rsid w:val="5ABD109B"/>
    <w:rsid w:val="5AC0453A"/>
    <w:rsid w:val="5AD355CA"/>
    <w:rsid w:val="5AD514E8"/>
    <w:rsid w:val="5AD536B4"/>
    <w:rsid w:val="5AEA4CCC"/>
    <w:rsid w:val="5AF076C2"/>
    <w:rsid w:val="5B031B11"/>
    <w:rsid w:val="5B2C4517"/>
    <w:rsid w:val="5B4517BC"/>
    <w:rsid w:val="5B96574B"/>
    <w:rsid w:val="5BCF1086"/>
    <w:rsid w:val="5BF65372"/>
    <w:rsid w:val="5C210521"/>
    <w:rsid w:val="5C28544F"/>
    <w:rsid w:val="5C2A4141"/>
    <w:rsid w:val="5C2C64D8"/>
    <w:rsid w:val="5C5A652B"/>
    <w:rsid w:val="5C78796F"/>
    <w:rsid w:val="5CE305DA"/>
    <w:rsid w:val="5D291EC2"/>
    <w:rsid w:val="5D3E5EBD"/>
    <w:rsid w:val="5D8B722E"/>
    <w:rsid w:val="5DA56248"/>
    <w:rsid w:val="5DDD75C3"/>
    <w:rsid w:val="5DE138D8"/>
    <w:rsid w:val="5DF64961"/>
    <w:rsid w:val="5E1921ED"/>
    <w:rsid w:val="5E2C0A11"/>
    <w:rsid w:val="5E4E4E2C"/>
    <w:rsid w:val="5E6F4DA2"/>
    <w:rsid w:val="5E897C12"/>
    <w:rsid w:val="5EA85EEB"/>
    <w:rsid w:val="5EF07A1A"/>
    <w:rsid w:val="5EFC28FD"/>
    <w:rsid w:val="5F210CE5"/>
    <w:rsid w:val="5F7C16CC"/>
    <w:rsid w:val="5F7D5E8E"/>
    <w:rsid w:val="5F7F522A"/>
    <w:rsid w:val="5F933BBC"/>
    <w:rsid w:val="5F9F5213"/>
    <w:rsid w:val="5FAD307A"/>
    <w:rsid w:val="5FD72BFF"/>
    <w:rsid w:val="5FE62E42"/>
    <w:rsid w:val="5FEC15CA"/>
    <w:rsid w:val="5FFA069B"/>
    <w:rsid w:val="5FFC4413"/>
    <w:rsid w:val="601337BB"/>
    <w:rsid w:val="601B0D3D"/>
    <w:rsid w:val="602C56B3"/>
    <w:rsid w:val="606F1089"/>
    <w:rsid w:val="60762DC3"/>
    <w:rsid w:val="607D37A6"/>
    <w:rsid w:val="608C39E9"/>
    <w:rsid w:val="60CA5C5B"/>
    <w:rsid w:val="60D51B2B"/>
    <w:rsid w:val="60F17CF0"/>
    <w:rsid w:val="611319A3"/>
    <w:rsid w:val="612956DC"/>
    <w:rsid w:val="61442516"/>
    <w:rsid w:val="617F2D1C"/>
    <w:rsid w:val="61891CD7"/>
    <w:rsid w:val="61963FB3"/>
    <w:rsid w:val="61C711C1"/>
    <w:rsid w:val="61F41846"/>
    <w:rsid w:val="62055C39"/>
    <w:rsid w:val="62312A9A"/>
    <w:rsid w:val="6283706E"/>
    <w:rsid w:val="628E7225"/>
    <w:rsid w:val="62A87E16"/>
    <w:rsid w:val="62C43294"/>
    <w:rsid w:val="62CA561A"/>
    <w:rsid w:val="62CA6A4B"/>
    <w:rsid w:val="6311467A"/>
    <w:rsid w:val="6313315F"/>
    <w:rsid w:val="632E2B36"/>
    <w:rsid w:val="634C56B2"/>
    <w:rsid w:val="637172BE"/>
    <w:rsid w:val="63826EC5"/>
    <w:rsid w:val="63B611F2"/>
    <w:rsid w:val="63CD6C1F"/>
    <w:rsid w:val="64550596"/>
    <w:rsid w:val="646709F5"/>
    <w:rsid w:val="64700725"/>
    <w:rsid w:val="64813139"/>
    <w:rsid w:val="648669A1"/>
    <w:rsid w:val="649B4C85"/>
    <w:rsid w:val="64A56430"/>
    <w:rsid w:val="64B4350F"/>
    <w:rsid w:val="64C37BF6"/>
    <w:rsid w:val="65513040"/>
    <w:rsid w:val="655A40B6"/>
    <w:rsid w:val="659550EE"/>
    <w:rsid w:val="65AB2B63"/>
    <w:rsid w:val="65BB2793"/>
    <w:rsid w:val="65DD5A8E"/>
    <w:rsid w:val="660B1854"/>
    <w:rsid w:val="661842AE"/>
    <w:rsid w:val="667027CF"/>
    <w:rsid w:val="6688694C"/>
    <w:rsid w:val="668C4743"/>
    <w:rsid w:val="66AC687A"/>
    <w:rsid w:val="66B22301"/>
    <w:rsid w:val="66C51A03"/>
    <w:rsid w:val="66D41C46"/>
    <w:rsid w:val="66F45E44"/>
    <w:rsid w:val="670A38BA"/>
    <w:rsid w:val="670D4A21"/>
    <w:rsid w:val="67341C8A"/>
    <w:rsid w:val="6739034F"/>
    <w:rsid w:val="6764746E"/>
    <w:rsid w:val="677D0530"/>
    <w:rsid w:val="67A96C2F"/>
    <w:rsid w:val="67B6759E"/>
    <w:rsid w:val="67C61BA5"/>
    <w:rsid w:val="67C9579C"/>
    <w:rsid w:val="67DD2D7C"/>
    <w:rsid w:val="6802739F"/>
    <w:rsid w:val="68076E78"/>
    <w:rsid w:val="68245589"/>
    <w:rsid w:val="6852376A"/>
    <w:rsid w:val="68777DD2"/>
    <w:rsid w:val="68815DFE"/>
    <w:rsid w:val="68CF442F"/>
    <w:rsid w:val="68D128E1"/>
    <w:rsid w:val="68E27BD2"/>
    <w:rsid w:val="68FB4800"/>
    <w:rsid w:val="69605A13"/>
    <w:rsid w:val="697A2F79"/>
    <w:rsid w:val="69871F0B"/>
    <w:rsid w:val="69983CE0"/>
    <w:rsid w:val="6A1C1694"/>
    <w:rsid w:val="6A4E7F61"/>
    <w:rsid w:val="6A724213"/>
    <w:rsid w:val="6A751DB0"/>
    <w:rsid w:val="6A8614A9"/>
    <w:rsid w:val="6AB95533"/>
    <w:rsid w:val="6AF87A75"/>
    <w:rsid w:val="6B037E0E"/>
    <w:rsid w:val="6B482C03"/>
    <w:rsid w:val="6B546DA9"/>
    <w:rsid w:val="6B737C7F"/>
    <w:rsid w:val="6B8D3CBB"/>
    <w:rsid w:val="6BDD2B0A"/>
    <w:rsid w:val="6BDE41BB"/>
    <w:rsid w:val="6BF40AC7"/>
    <w:rsid w:val="6C054650"/>
    <w:rsid w:val="6C5462A8"/>
    <w:rsid w:val="6C7041BF"/>
    <w:rsid w:val="6C8E751E"/>
    <w:rsid w:val="6C917FD7"/>
    <w:rsid w:val="6C9C2E87"/>
    <w:rsid w:val="6CD6548A"/>
    <w:rsid w:val="6CD97FB6"/>
    <w:rsid w:val="6D0C35EA"/>
    <w:rsid w:val="6D326C1C"/>
    <w:rsid w:val="6D393926"/>
    <w:rsid w:val="6D394EF9"/>
    <w:rsid w:val="6D396CA7"/>
    <w:rsid w:val="6D4D281A"/>
    <w:rsid w:val="6D5E2269"/>
    <w:rsid w:val="6DA02882"/>
    <w:rsid w:val="6DC76061"/>
    <w:rsid w:val="6DE035C6"/>
    <w:rsid w:val="6DEE183F"/>
    <w:rsid w:val="6E366386"/>
    <w:rsid w:val="6E62222D"/>
    <w:rsid w:val="6E645FA5"/>
    <w:rsid w:val="6E6C09B6"/>
    <w:rsid w:val="6E9E5904"/>
    <w:rsid w:val="6EA168B2"/>
    <w:rsid w:val="6EC66318"/>
    <w:rsid w:val="6F1352D6"/>
    <w:rsid w:val="6F3574FF"/>
    <w:rsid w:val="6F6F7A6D"/>
    <w:rsid w:val="6F711F0A"/>
    <w:rsid w:val="6F885CC3"/>
    <w:rsid w:val="6FA67EF8"/>
    <w:rsid w:val="6FBB0862"/>
    <w:rsid w:val="6FC50CC6"/>
    <w:rsid w:val="6FD827A7"/>
    <w:rsid w:val="70106954"/>
    <w:rsid w:val="70231548"/>
    <w:rsid w:val="702A6D7B"/>
    <w:rsid w:val="703C2F7E"/>
    <w:rsid w:val="704876EA"/>
    <w:rsid w:val="70AB1C6A"/>
    <w:rsid w:val="70AC59E2"/>
    <w:rsid w:val="70C416B7"/>
    <w:rsid w:val="70CD6084"/>
    <w:rsid w:val="70D867D7"/>
    <w:rsid w:val="70FA674D"/>
    <w:rsid w:val="711041C2"/>
    <w:rsid w:val="713752AB"/>
    <w:rsid w:val="7148395C"/>
    <w:rsid w:val="718C0BF9"/>
    <w:rsid w:val="71BB7860"/>
    <w:rsid w:val="71C1726B"/>
    <w:rsid w:val="71C63FE5"/>
    <w:rsid w:val="72247F25"/>
    <w:rsid w:val="72440385"/>
    <w:rsid w:val="726D6547"/>
    <w:rsid w:val="72A746B3"/>
    <w:rsid w:val="72CC236B"/>
    <w:rsid w:val="73216213"/>
    <w:rsid w:val="73330050"/>
    <w:rsid w:val="73761484"/>
    <w:rsid w:val="73822EF3"/>
    <w:rsid w:val="739015EB"/>
    <w:rsid w:val="73EA0CFB"/>
    <w:rsid w:val="743F3C99"/>
    <w:rsid w:val="744A3547"/>
    <w:rsid w:val="74835482"/>
    <w:rsid w:val="74877DC7"/>
    <w:rsid w:val="748C1DB2"/>
    <w:rsid w:val="74A4534E"/>
    <w:rsid w:val="74DB35C2"/>
    <w:rsid w:val="750556C0"/>
    <w:rsid w:val="755554B4"/>
    <w:rsid w:val="755C3532"/>
    <w:rsid w:val="75784746"/>
    <w:rsid w:val="757E794D"/>
    <w:rsid w:val="75890D8F"/>
    <w:rsid w:val="75B043EA"/>
    <w:rsid w:val="75DC4673"/>
    <w:rsid w:val="767E397C"/>
    <w:rsid w:val="768216BE"/>
    <w:rsid w:val="76BD26F7"/>
    <w:rsid w:val="76D90F68"/>
    <w:rsid w:val="76DC0B0B"/>
    <w:rsid w:val="76F01BD6"/>
    <w:rsid w:val="77100A78"/>
    <w:rsid w:val="771F700C"/>
    <w:rsid w:val="77280C7C"/>
    <w:rsid w:val="774F5A96"/>
    <w:rsid w:val="77660E93"/>
    <w:rsid w:val="77701517"/>
    <w:rsid w:val="777234E1"/>
    <w:rsid w:val="779F3BAA"/>
    <w:rsid w:val="77A613DD"/>
    <w:rsid w:val="77BB58EB"/>
    <w:rsid w:val="77C1540B"/>
    <w:rsid w:val="77F42A7C"/>
    <w:rsid w:val="781B5927"/>
    <w:rsid w:val="783E7320"/>
    <w:rsid w:val="784E74CE"/>
    <w:rsid w:val="784F5123"/>
    <w:rsid w:val="7891670E"/>
    <w:rsid w:val="789A79F1"/>
    <w:rsid w:val="78C43643"/>
    <w:rsid w:val="78C80EDF"/>
    <w:rsid w:val="78CB19C0"/>
    <w:rsid w:val="78F35EFE"/>
    <w:rsid w:val="78F85C68"/>
    <w:rsid w:val="78FF5669"/>
    <w:rsid w:val="793275BA"/>
    <w:rsid w:val="79517126"/>
    <w:rsid w:val="79986B03"/>
    <w:rsid w:val="79A724F1"/>
    <w:rsid w:val="79A8143C"/>
    <w:rsid w:val="79B53B59"/>
    <w:rsid w:val="79C1605A"/>
    <w:rsid w:val="79FB7523"/>
    <w:rsid w:val="7A432F13"/>
    <w:rsid w:val="7A454EDD"/>
    <w:rsid w:val="7A4B7878"/>
    <w:rsid w:val="7A523156"/>
    <w:rsid w:val="7A6A4943"/>
    <w:rsid w:val="7A6D100D"/>
    <w:rsid w:val="7ACB4CB6"/>
    <w:rsid w:val="7AEE7323"/>
    <w:rsid w:val="7B346DBE"/>
    <w:rsid w:val="7B4231CA"/>
    <w:rsid w:val="7B454A69"/>
    <w:rsid w:val="7B603A27"/>
    <w:rsid w:val="7B946370"/>
    <w:rsid w:val="7BAE0860"/>
    <w:rsid w:val="7BE20509"/>
    <w:rsid w:val="7BF00E78"/>
    <w:rsid w:val="7C3F1529"/>
    <w:rsid w:val="7C4802E0"/>
    <w:rsid w:val="7C5F16F8"/>
    <w:rsid w:val="7C6929D9"/>
    <w:rsid w:val="7C956874"/>
    <w:rsid w:val="7C9D3E10"/>
    <w:rsid w:val="7CA852AF"/>
    <w:rsid w:val="7CAF2E48"/>
    <w:rsid w:val="7CB122FF"/>
    <w:rsid w:val="7D48217E"/>
    <w:rsid w:val="7DA05FAF"/>
    <w:rsid w:val="7DBA67DE"/>
    <w:rsid w:val="7DBD19F8"/>
    <w:rsid w:val="7DEA556F"/>
    <w:rsid w:val="7DF53ACA"/>
    <w:rsid w:val="7DF7159A"/>
    <w:rsid w:val="7E7C50A3"/>
    <w:rsid w:val="7ED54355"/>
    <w:rsid w:val="7EF77A3D"/>
    <w:rsid w:val="7F0E4C61"/>
    <w:rsid w:val="7F231565"/>
    <w:rsid w:val="7F556235"/>
    <w:rsid w:val="7F5D4A77"/>
    <w:rsid w:val="7F7F4C0B"/>
    <w:rsid w:val="7FB21C67"/>
    <w:rsid w:val="7FED4A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sz w:val="44"/>
      <w:szCs w:val="44"/>
    </w:rPr>
  </w:style>
  <w:style w:type="paragraph" w:styleId="4">
    <w:name w:val="heading 2"/>
    <w:basedOn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5">
    <w:name w:val="heading 3"/>
    <w:basedOn w:val="1"/>
    <w:next w:val="1"/>
    <w:qFormat/>
    <w:uiPriority w:val="99"/>
    <w:pPr>
      <w:keepNext/>
      <w:keepLines/>
      <w:spacing w:line="415" w:lineRule="auto"/>
      <w:ind w:firstLine="137"/>
      <w:outlineLvl w:val="2"/>
    </w:pPr>
    <w:rPr>
      <w:rFonts w:hAnsi="黑体" w:eastAsia="黑体"/>
      <w:sz w:val="24"/>
      <w:szCs w:val="20"/>
    </w:rPr>
  </w:style>
  <w:style w:type="character" w:default="1" w:styleId="19">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0"/>
    <w:pPr>
      <w:ind w:left="630" w:firstLine="645"/>
    </w:pPr>
    <w:rPr>
      <w:rFonts w:ascii="Arial" w:hAnsi="Arial" w:eastAsia="仿宋_GB2312" w:cs="Arial"/>
      <w:sz w:val="32"/>
      <w:szCs w:val="32"/>
    </w:rPr>
  </w:style>
  <w:style w:type="paragraph" w:styleId="6">
    <w:name w:val="Normal Indent"/>
    <w:basedOn w:val="1"/>
    <w:next w:val="1"/>
    <w:qFormat/>
    <w:uiPriority w:val="0"/>
    <w:pPr>
      <w:widowControl w:val="0"/>
      <w:autoSpaceDE w:val="0"/>
      <w:autoSpaceDN w:val="0"/>
      <w:adjustRightInd w:val="0"/>
      <w:ind w:firstLine="420"/>
      <w:jc w:val="left"/>
    </w:pPr>
    <w:rPr>
      <w:rFonts w:ascii="宋体" w:hAnsi="Times New Roman" w:eastAsia="宋体" w:cs="Times New Roman"/>
      <w:kern w:val="0"/>
      <w:sz w:val="24"/>
      <w:lang w:val="en-US" w:eastAsia="zh-CN"/>
    </w:rPr>
  </w:style>
  <w:style w:type="paragraph" w:styleId="7">
    <w:name w:val="annotation text"/>
    <w:basedOn w:val="1"/>
    <w:autoRedefine/>
    <w:qFormat/>
    <w:uiPriority w:val="0"/>
    <w:pPr>
      <w:jc w:val="left"/>
    </w:pPr>
  </w:style>
  <w:style w:type="paragraph" w:styleId="8">
    <w:name w:val="Body Text"/>
    <w:basedOn w:val="1"/>
    <w:semiHidden/>
    <w:qFormat/>
    <w:uiPriority w:val="0"/>
    <w:rPr>
      <w:rFonts w:ascii="仿宋" w:hAnsi="仿宋" w:eastAsia="仿宋" w:cs="仿宋"/>
      <w:sz w:val="31"/>
      <w:szCs w:val="31"/>
      <w:lang w:val="en-US" w:eastAsia="en-US" w:bidi="ar-SA"/>
    </w:rPr>
  </w:style>
  <w:style w:type="paragraph" w:styleId="9">
    <w:name w:val="Body Text Indent"/>
    <w:basedOn w:val="1"/>
    <w:unhideWhenUsed/>
    <w:qFormat/>
    <w:uiPriority w:val="99"/>
    <w:pPr>
      <w:widowControl w:val="0"/>
      <w:spacing w:after="120"/>
      <w:ind w:left="420" w:leftChars="200"/>
      <w:jc w:val="both"/>
    </w:pPr>
    <w:rPr>
      <w:rFonts w:ascii="Calibri" w:hAnsi="Calibri" w:eastAsia="宋体" w:cs="Times New Roman"/>
      <w:kern w:val="2"/>
      <w:sz w:val="21"/>
      <w:szCs w:val="22"/>
      <w:lang w:val="en-US" w:eastAsia="zh-CN"/>
    </w:rPr>
  </w:style>
  <w:style w:type="paragraph" w:styleId="10">
    <w:name w:val="toc 3"/>
    <w:basedOn w:val="1"/>
    <w:next w:val="1"/>
    <w:unhideWhenUsed/>
    <w:qFormat/>
    <w:uiPriority w:val="39"/>
    <w:pPr>
      <w:spacing w:after="57"/>
      <w:ind w:left="567"/>
    </w:pPr>
  </w:style>
  <w:style w:type="paragraph" w:styleId="11">
    <w:name w:val="Plain Text"/>
    <w:basedOn w:val="1"/>
    <w:qFormat/>
    <w:uiPriority w:val="99"/>
    <w:rPr>
      <w:rFonts w:ascii="宋体" w:hAnsi="Courier New"/>
    </w:rPr>
  </w:style>
  <w:style w:type="paragraph" w:styleId="12">
    <w:name w:val="footer"/>
    <w:basedOn w:val="1"/>
    <w:link w:val="23"/>
    <w:autoRedefine/>
    <w:qFormat/>
    <w:uiPriority w:val="0"/>
    <w:pPr>
      <w:tabs>
        <w:tab w:val="center" w:pos="4153"/>
        <w:tab w:val="right" w:pos="8306"/>
      </w:tabs>
      <w:snapToGrid w:val="0"/>
      <w:jc w:val="left"/>
    </w:pPr>
    <w:rPr>
      <w:sz w:val="18"/>
      <w:szCs w:val="18"/>
    </w:rPr>
  </w:style>
  <w:style w:type="paragraph" w:styleId="13">
    <w:name w:val="envelope return"/>
    <w:basedOn w:val="1"/>
    <w:qFormat/>
    <w:uiPriority w:val="0"/>
    <w:pPr>
      <w:widowControl w:val="0"/>
      <w:snapToGrid w:val="0"/>
      <w:jc w:val="both"/>
    </w:pPr>
    <w:rPr>
      <w:rFonts w:ascii="Arial" w:hAnsi="Arial" w:eastAsia="宋体" w:cs="Times New Roman"/>
      <w:kern w:val="2"/>
      <w:sz w:val="21"/>
      <w:lang w:val="en-US" w:eastAsia="zh-CN"/>
    </w:rPr>
  </w:style>
  <w:style w:type="paragraph" w:styleId="14">
    <w:name w:val="header"/>
    <w:basedOn w:val="1"/>
    <w:link w:val="22"/>
    <w:autoRedefine/>
    <w:qFormat/>
    <w:uiPriority w:val="0"/>
    <w:pPr>
      <w:pBdr>
        <w:bottom w:val="single" w:color="auto" w:sz="6" w:space="1"/>
      </w:pBdr>
      <w:tabs>
        <w:tab w:val="center" w:pos="4153"/>
        <w:tab w:val="right" w:pos="8306"/>
      </w:tabs>
      <w:snapToGrid w:val="0"/>
      <w:jc w:val="center"/>
    </w:pPr>
    <w:rPr>
      <w:sz w:val="18"/>
      <w:szCs w:val="18"/>
    </w:rPr>
  </w:style>
  <w:style w:type="paragraph" w:styleId="15">
    <w:name w:val="Normal (Web)"/>
    <w:basedOn w:val="1"/>
    <w:autoRedefine/>
    <w:qFormat/>
    <w:uiPriority w:val="0"/>
    <w:pPr>
      <w:spacing w:beforeAutospacing="1" w:afterAutospacing="1"/>
      <w:jc w:val="left"/>
    </w:pPr>
    <w:rPr>
      <w:rFonts w:cs="Times New Roman"/>
      <w:kern w:val="0"/>
      <w:sz w:val="24"/>
    </w:rPr>
  </w:style>
  <w:style w:type="paragraph" w:styleId="16">
    <w:name w:val="Body Text First Indent"/>
    <w:basedOn w:val="1"/>
    <w:qFormat/>
    <w:uiPriority w:val="0"/>
    <w:pPr>
      <w:spacing w:line="360" w:lineRule="auto"/>
      <w:ind w:firstLine="200"/>
    </w:pPr>
    <w:rPr>
      <w:rFonts w:ascii="仿宋_GB2312" w:eastAsia="仿宋_GB2312"/>
      <w:sz w:val="30"/>
      <w:szCs w:val="30"/>
    </w:rPr>
  </w:style>
  <w:style w:type="paragraph" w:styleId="17">
    <w:name w:val="Body Text First Indent 2"/>
    <w:basedOn w:val="9"/>
    <w:next w:val="1"/>
    <w:qFormat/>
    <w:uiPriority w:val="99"/>
    <w:pPr>
      <w:widowControl w:val="0"/>
      <w:spacing w:after="120"/>
      <w:ind w:left="420" w:leftChars="200" w:firstLine="420" w:firstLineChars="200"/>
      <w:jc w:val="both"/>
    </w:pPr>
    <w:rPr>
      <w:rFonts w:ascii="Calibri" w:hAnsi="Calibri" w:eastAsia="宋体" w:cs="宋体"/>
      <w:kern w:val="2"/>
      <w:sz w:val="21"/>
      <w:szCs w:val="22"/>
      <w:lang w:val="en-US" w:eastAsia="zh-CN"/>
    </w:rPr>
  </w:style>
  <w:style w:type="character" w:styleId="20">
    <w:name w:val="Strong"/>
    <w:basedOn w:val="19"/>
    <w:qFormat/>
    <w:uiPriority w:val="0"/>
    <w:rPr>
      <w:b/>
    </w:rPr>
  </w:style>
  <w:style w:type="paragraph" w:customStyle="1" w:styleId="21">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22">
    <w:name w:val="页眉 Char"/>
    <w:basedOn w:val="19"/>
    <w:link w:val="14"/>
    <w:autoRedefine/>
    <w:qFormat/>
    <w:uiPriority w:val="0"/>
    <w:rPr>
      <w:rFonts w:asciiTheme="minorHAnsi" w:hAnsiTheme="minorHAnsi" w:eastAsiaTheme="minorEastAsia" w:cstheme="minorBidi"/>
      <w:kern w:val="2"/>
      <w:sz w:val="18"/>
      <w:szCs w:val="18"/>
    </w:rPr>
  </w:style>
  <w:style w:type="character" w:customStyle="1" w:styleId="23">
    <w:name w:val="页脚 Char"/>
    <w:basedOn w:val="19"/>
    <w:link w:val="12"/>
    <w:autoRedefine/>
    <w:qFormat/>
    <w:uiPriority w:val="0"/>
    <w:rPr>
      <w:rFonts w:asciiTheme="minorHAnsi" w:hAnsiTheme="minorHAnsi" w:eastAsiaTheme="minorEastAsia" w:cstheme="minorBidi"/>
      <w:kern w:val="2"/>
      <w:sz w:val="18"/>
      <w:szCs w:val="18"/>
    </w:rPr>
  </w:style>
  <w:style w:type="paragraph" w:customStyle="1" w:styleId="24">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5">
    <w:name w:val="正文首行缩进 21"/>
    <w:basedOn w:val="26"/>
    <w:qFormat/>
    <w:uiPriority w:val="0"/>
    <w:pPr>
      <w:ind w:firstLine="420"/>
    </w:pPr>
  </w:style>
  <w:style w:type="paragraph" w:customStyle="1" w:styleId="26">
    <w:name w:val="正文文本缩进1"/>
    <w:basedOn w:val="1"/>
    <w:qFormat/>
    <w:uiPriority w:val="0"/>
    <w:pPr>
      <w:spacing w:after="120"/>
      <w:ind w:left="420"/>
    </w:pPr>
  </w:style>
  <w:style w:type="paragraph" w:customStyle="1" w:styleId="27">
    <w:name w:val="Char"/>
    <w:basedOn w:val="1"/>
    <w:qFormat/>
    <w:uiPriority w:val="0"/>
    <w:pPr>
      <w:tabs>
        <w:tab w:val="left" w:pos="360"/>
      </w:tabs>
      <w:ind w:firstLine="200"/>
    </w:pPr>
    <w:rPr>
      <w:szCs w:val="30"/>
    </w:rPr>
  </w:style>
  <w:style w:type="paragraph" w:customStyle="1" w:styleId="28">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9">
    <w:name w:val="普通(网站)111"/>
    <w:basedOn w:val="1"/>
    <w:qFormat/>
    <w:uiPriority w:val="0"/>
    <w:pPr>
      <w:spacing w:beforeAutospacing="1" w:afterAutospacing="1"/>
      <w:jc w:val="left"/>
    </w:pPr>
    <w:rPr>
      <w:sz w:val="24"/>
    </w:rPr>
  </w:style>
  <w:style w:type="paragraph" w:customStyle="1" w:styleId="30">
    <w:name w:val="正文缩进11"/>
    <w:basedOn w:val="1"/>
    <w:qFormat/>
    <w:uiPriority w:val="0"/>
    <w:rPr>
      <w:szCs w:val="20"/>
    </w:rPr>
  </w:style>
  <w:style w:type="paragraph" w:customStyle="1" w:styleId="31">
    <w:name w:val="标题 311"/>
    <w:basedOn w:val="1"/>
    <w:next w:val="1"/>
    <w:qFormat/>
    <w:uiPriority w:val="0"/>
    <w:pPr>
      <w:keepNext/>
      <w:keepLines/>
      <w:spacing w:before="260" w:after="260" w:line="416" w:lineRule="auto"/>
      <w:outlineLvl w:val="2"/>
    </w:pPr>
    <w:rPr>
      <w:b/>
      <w:sz w:val="32"/>
      <w:szCs w:val="20"/>
    </w:rPr>
  </w:style>
  <w:style w:type="paragraph" w:customStyle="1" w:styleId="32">
    <w:name w:val="标题 21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33">
    <w:name w:val="文本块1"/>
    <w:basedOn w:val="1"/>
    <w:qFormat/>
    <w:uiPriority w:val="99"/>
    <w:pPr>
      <w:tabs>
        <w:tab w:val="left" w:pos="9000"/>
      </w:tabs>
      <w:spacing w:after="120"/>
      <w:ind w:left="1440" w:right="1440"/>
    </w:pPr>
  </w:style>
  <w:style w:type="paragraph" w:styleId="34">
    <w:name w:val="List Paragraph"/>
    <w:basedOn w:val="1"/>
    <w:qFormat/>
    <w:uiPriority w:val="0"/>
    <w:pPr>
      <w:ind w:firstLine="420"/>
    </w:pPr>
    <w:rPr>
      <w:sz w:val="21"/>
    </w:rPr>
  </w:style>
  <w:style w:type="paragraph" w:customStyle="1" w:styleId="35">
    <w:name w:val="段"/>
    <w:next w:val="36"/>
    <w:qFormat/>
    <w:uiPriority w:val="99"/>
    <w:pPr>
      <w:ind w:firstLine="200"/>
      <w:jc w:val="both"/>
    </w:pPr>
    <w:rPr>
      <w:rFonts w:hint="default" w:ascii="宋体" w:hAnsi="Times New Roman" w:eastAsia="宋体" w:cs="Times New Roman"/>
      <w:sz w:val="22"/>
      <w:lang w:val="en-US" w:eastAsia="zh-CN" w:bidi="ar-SA"/>
    </w:rPr>
  </w:style>
  <w:style w:type="paragraph" w:customStyle="1" w:styleId="36">
    <w:name w:val="正文 A"/>
    <w:next w:val="35"/>
    <w:qFormat/>
    <w:uiPriority w:val="0"/>
    <w:pPr>
      <w:widowControl w:val="0"/>
      <w:jc w:val="both"/>
    </w:pPr>
    <w:rPr>
      <w:rFonts w:hint="default" w:ascii="Arial Unicode MS" w:hAnsi="Arial Unicode MS" w:eastAsia="Arial Unicode MS" w:cs="Arial Unicode MS"/>
      <w:color w:val="000000"/>
      <w:sz w:val="21"/>
      <w:szCs w:val="21"/>
      <w:u w:val="none"/>
      <w:lang w:val="en-US" w:eastAsia="zh-CN" w:bidi="ar-SA"/>
    </w:rPr>
  </w:style>
  <w:style w:type="paragraph" w:customStyle="1" w:styleId="37">
    <w:name w:val="正文1"/>
    <w:basedOn w:val="10"/>
    <w:next w:val="1"/>
    <w:qFormat/>
    <w:uiPriority w:val="0"/>
    <w:pPr>
      <w:spacing w:before="156"/>
      <w:ind w:firstLine="510"/>
    </w:pPr>
    <w:rPr>
      <w:rFonts w:ascii="Times New Roman" w:eastAsia="宋体"/>
      <w:szCs w:val="20"/>
    </w:rPr>
  </w:style>
  <w:style w:type="paragraph" w:customStyle="1" w:styleId="38">
    <w:name w:val="纯文本1"/>
    <w:basedOn w:val="1"/>
    <w:qFormat/>
    <w:uiPriority w:val="0"/>
    <w:rPr>
      <w:rFonts w:ascii="宋体" w:hAnsi="Courier New" w:eastAsia="楷体_GB2312"/>
      <w:szCs w:val="20"/>
    </w:rPr>
  </w:style>
  <w:style w:type="table" w:customStyle="1" w:styleId="39">
    <w:name w:val="Table Normal"/>
    <w:unhideWhenUsed/>
    <w:qFormat/>
    <w:uiPriority w:val="0"/>
    <w:tblPr>
      <w:tblCellMar>
        <w:top w:w="0" w:type="dxa"/>
        <w:left w:w="0" w:type="dxa"/>
        <w:bottom w:w="0" w:type="dxa"/>
        <w:right w:w="0" w:type="dxa"/>
      </w:tblCellMar>
    </w:tblPr>
  </w:style>
  <w:style w:type="paragraph" w:customStyle="1" w:styleId="40">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68</Pages>
  <Words>94</Words>
  <Characters>98</Characters>
  <Lines>167</Lines>
  <Paragraphs>47</Paragraphs>
  <TotalTime>55</TotalTime>
  <ScaleCrop>false</ScaleCrop>
  <LinksUpToDate>false</LinksUpToDate>
  <CharactersWithSpaces>116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小吉</cp:lastModifiedBy>
  <cp:lastPrinted>2026-06-09T06:11:00Z</cp:lastPrinted>
  <dcterms:modified xsi:type="dcterms:W3CDTF">2026-06-12T07:36:02Z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65759699444F44BBBFCCC89CEABA8F49_13</vt:lpwstr>
  </property>
  <property fmtid="{D5CDD505-2E9C-101B-9397-08002B2CF9AE}" pid="4" name="KSOTemplateDocerSaveRecord">
    <vt:lpwstr>eyJoZGlkIjoiMDc3ZjgwYzE3MzFlNDg5ODFkNTFlZDhjNmMzY2Y1MmUiLCJ1c2VySWQiOiIxNTc5NTIzMjcyIn0=</vt:lpwstr>
  </property>
</Properties>
</file>